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AD" w:rsidRPr="004D38DA" w:rsidRDefault="00F007AD" w:rsidP="004D38DA">
      <w:pPr>
        <w:spacing w:after="0"/>
        <w:contextualSpacing/>
        <w:jc w:val="center"/>
        <w:rPr>
          <w:rFonts w:asciiTheme="majorHAnsi" w:hAnsiTheme="majorHAnsi"/>
          <w:sz w:val="32"/>
          <w:szCs w:val="32"/>
        </w:rPr>
      </w:pPr>
      <w:bookmarkStart w:id="0" w:name="_GoBack"/>
      <w:bookmarkEnd w:id="0"/>
      <w:r w:rsidRPr="004D38DA">
        <w:rPr>
          <w:rFonts w:asciiTheme="majorHAnsi" w:hAnsiTheme="majorHAnsi"/>
          <w:b/>
          <w:sz w:val="32"/>
          <w:szCs w:val="32"/>
        </w:rPr>
        <w:t xml:space="preserve">VERBALE CONSIGLIO D’ISTITUTO </w:t>
      </w:r>
      <w:r w:rsidR="00790E33" w:rsidRPr="004D38DA">
        <w:rPr>
          <w:rFonts w:asciiTheme="majorHAnsi" w:hAnsiTheme="majorHAnsi"/>
          <w:b/>
          <w:sz w:val="32"/>
          <w:szCs w:val="32"/>
        </w:rPr>
        <w:t>N.11</w:t>
      </w:r>
    </w:p>
    <w:p w:rsidR="00F007AD" w:rsidRPr="00C71298" w:rsidRDefault="00F007AD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Il giorno 27/10/2016 alle ore 16,00, nei locali della sede centrale dell’I.C.S.” Maredolce” di Palermo, si riunisce il Consiglio d’Istituto per discutere il seguente ordine del giorno:</w:t>
      </w:r>
    </w:p>
    <w:p w:rsidR="00F007AD" w:rsidRPr="00C71298" w:rsidRDefault="00F007AD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Lettura verbale seduta precedente;</w:t>
      </w:r>
    </w:p>
    <w:p w:rsidR="00F007AD" w:rsidRPr="00C71298" w:rsidRDefault="00F007AD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Modifica al P.A. 2016 (Prelevamento avanzo di amministrazione);</w:t>
      </w:r>
    </w:p>
    <w:p w:rsidR="00F007AD" w:rsidRPr="00C71298" w:rsidRDefault="00F007AD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Trasmissione per conoscenza di decreti di variazione al P.A. 2016;</w:t>
      </w:r>
    </w:p>
    <w:p w:rsidR="00F007AD" w:rsidRPr="00C71298" w:rsidRDefault="00F007AD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 xml:space="preserve">Rendiconto manutenzione ordinaria ed indifferibile comunale </w:t>
      </w:r>
      <w:proofErr w:type="spellStart"/>
      <w:r w:rsidRPr="00C71298">
        <w:rPr>
          <w:rFonts w:asciiTheme="majorHAnsi" w:hAnsiTheme="majorHAnsi"/>
          <w:sz w:val="20"/>
          <w:szCs w:val="20"/>
        </w:rPr>
        <w:t>a.s.</w:t>
      </w:r>
      <w:proofErr w:type="spellEnd"/>
      <w:r w:rsidRPr="00C71298">
        <w:rPr>
          <w:rFonts w:asciiTheme="majorHAnsi" w:hAnsiTheme="majorHAnsi"/>
          <w:sz w:val="20"/>
          <w:szCs w:val="20"/>
        </w:rPr>
        <w:t xml:space="preserve"> 2015/2016; </w:t>
      </w:r>
    </w:p>
    <w:p w:rsidR="00F007AD" w:rsidRPr="00C71298" w:rsidRDefault="00F007AD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Rendiconto oneri comunali a.s.2015/2016;</w:t>
      </w:r>
    </w:p>
    <w:p w:rsidR="00F007AD" w:rsidRPr="00C71298" w:rsidRDefault="00F007AD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 xml:space="preserve">Criteri di ripartizione dei fondi relativi alla fornitura gratuita dei libri di testo </w:t>
      </w:r>
      <w:proofErr w:type="spellStart"/>
      <w:r w:rsidRPr="00C71298">
        <w:rPr>
          <w:rFonts w:asciiTheme="majorHAnsi" w:hAnsiTheme="majorHAnsi"/>
          <w:sz w:val="20"/>
          <w:szCs w:val="20"/>
        </w:rPr>
        <w:t>a.s.</w:t>
      </w:r>
      <w:proofErr w:type="spellEnd"/>
      <w:r w:rsidRPr="00C71298">
        <w:rPr>
          <w:rFonts w:asciiTheme="majorHAnsi" w:hAnsiTheme="majorHAnsi"/>
          <w:sz w:val="20"/>
          <w:szCs w:val="20"/>
        </w:rPr>
        <w:t xml:space="preserve"> 2013/2014;</w:t>
      </w:r>
    </w:p>
    <w:p w:rsidR="00F007AD" w:rsidRPr="00C71298" w:rsidRDefault="00F007AD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 xml:space="preserve">Chiusura prefestivi </w:t>
      </w:r>
      <w:proofErr w:type="spellStart"/>
      <w:r w:rsidRPr="00C71298">
        <w:rPr>
          <w:rFonts w:asciiTheme="majorHAnsi" w:hAnsiTheme="majorHAnsi"/>
          <w:sz w:val="20"/>
          <w:szCs w:val="20"/>
        </w:rPr>
        <w:t>a.s.</w:t>
      </w:r>
      <w:proofErr w:type="spellEnd"/>
      <w:r w:rsidRPr="00C71298">
        <w:rPr>
          <w:rFonts w:asciiTheme="majorHAnsi" w:hAnsiTheme="majorHAnsi"/>
          <w:sz w:val="20"/>
          <w:szCs w:val="20"/>
        </w:rPr>
        <w:t xml:space="preserve"> 2016/2017;</w:t>
      </w:r>
    </w:p>
    <w:p w:rsidR="00F007AD" w:rsidRPr="00C71298" w:rsidRDefault="00F007AD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 xml:space="preserve">Conferma orario di servizio personale A.T.A. </w:t>
      </w:r>
      <w:proofErr w:type="spellStart"/>
      <w:r w:rsidRPr="00C71298">
        <w:rPr>
          <w:rFonts w:asciiTheme="majorHAnsi" w:hAnsiTheme="majorHAnsi"/>
          <w:sz w:val="20"/>
          <w:szCs w:val="20"/>
        </w:rPr>
        <w:t>a.s.</w:t>
      </w:r>
      <w:proofErr w:type="spellEnd"/>
      <w:r w:rsidRPr="00C71298">
        <w:rPr>
          <w:rFonts w:asciiTheme="majorHAnsi" w:hAnsiTheme="majorHAnsi"/>
          <w:sz w:val="20"/>
          <w:szCs w:val="20"/>
        </w:rPr>
        <w:t xml:space="preserve"> 2016/2017;</w:t>
      </w:r>
    </w:p>
    <w:p w:rsidR="00035FC5" w:rsidRDefault="00035FC5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Adesione progetto</w:t>
      </w:r>
      <w:r w:rsidR="00F007AD" w:rsidRPr="00C71298">
        <w:rPr>
          <w:rFonts w:asciiTheme="majorHAnsi" w:hAnsiTheme="majorHAnsi"/>
          <w:sz w:val="20"/>
          <w:szCs w:val="20"/>
        </w:rPr>
        <w:t xml:space="preserve"> – F</w:t>
      </w:r>
      <w:r>
        <w:rPr>
          <w:rFonts w:asciiTheme="majorHAnsi" w:hAnsiTheme="majorHAnsi"/>
          <w:sz w:val="20"/>
          <w:szCs w:val="20"/>
        </w:rPr>
        <w:t xml:space="preserve">ondi </w:t>
      </w:r>
      <w:r w:rsidR="00F007AD" w:rsidRPr="00C71298">
        <w:rPr>
          <w:rFonts w:asciiTheme="majorHAnsi" w:hAnsiTheme="majorHAnsi"/>
          <w:sz w:val="20"/>
          <w:szCs w:val="20"/>
        </w:rPr>
        <w:t>S</w:t>
      </w:r>
      <w:r>
        <w:rPr>
          <w:rFonts w:asciiTheme="majorHAnsi" w:hAnsiTheme="majorHAnsi"/>
          <w:sz w:val="20"/>
          <w:szCs w:val="20"/>
        </w:rPr>
        <w:t xml:space="preserve">trutturali </w:t>
      </w:r>
      <w:r w:rsidR="00F007AD" w:rsidRPr="00C71298">
        <w:rPr>
          <w:rFonts w:asciiTheme="majorHAnsi" w:hAnsiTheme="majorHAnsi"/>
          <w:sz w:val="20"/>
          <w:szCs w:val="20"/>
        </w:rPr>
        <w:t>E</w:t>
      </w:r>
      <w:r>
        <w:rPr>
          <w:rFonts w:asciiTheme="majorHAnsi" w:hAnsiTheme="majorHAnsi"/>
          <w:sz w:val="20"/>
          <w:szCs w:val="20"/>
        </w:rPr>
        <w:t>uropei</w:t>
      </w:r>
      <w:r w:rsidR="00F007AD" w:rsidRPr="00C71298">
        <w:rPr>
          <w:rFonts w:asciiTheme="majorHAnsi" w:hAnsiTheme="majorHAnsi"/>
          <w:sz w:val="20"/>
          <w:szCs w:val="20"/>
        </w:rPr>
        <w:t xml:space="preserve"> – P</w:t>
      </w:r>
      <w:r>
        <w:rPr>
          <w:rFonts w:asciiTheme="majorHAnsi" w:hAnsiTheme="majorHAnsi"/>
          <w:sz w:val="20"/>
          <w:szCs w:val="20"/>
        </w:rPr>
        <w:t xml:space="preserve">rogramma </w:t>
      </w:r>
      <w:r w:rsidR="00F007AD" w:rsidRPr="00C71298">
        <w:rPr>
          <w:rFonts w:asciiTheme="majorHAnsi" w:hAnsiTheme="majorHAnsi"/>
          <w:sz w:val="20"/>
          <w:szCs w:val="20"/>
        </w:rPr>
        <w:t>O</w:t>
      </w:r>
      <w:r>
        <w:rPr>
          <w:rFonts w:asciiTheme="majorHAnsi" w:hAnsiTheme="majorHAnsi"/>
          <w:sz w:val="20"/>
          <w:szCs w:val="20"/>
        </w:rPr>
        <w:t xml:space="preserve">perativo </w:t>
      </w:r>
      <w:r w:rsidR="00F007AD" w:rsidRPr="00C71298">
        <w:rPr>
          <w:rFonts w:asciiTheme="majorHAnsi" w:hAnsiTheme="majorHAnsi"/>
          <w:sz w:val="20"/>
          <w:szCs w:val="20"/>
        </w:rPr>
        <w:t>N</w:t>
      </w:r>
      <w:r>
        <w:rPr>
          <w:rFonts w:asciiTheme="majorHAnsi" w:hAnsiTheme="majorHAnsi"/>
          <w:sz w:val="20"/>
          <w:szCs w:val="20"/>
        </w:rPr>
        <w:t>azionale</w:t>
      </w:r>
      <w:r w:rsidR="00F007AD" w:rsidRPr="00C71298">
        <w:rPr>
          <w:rFonts w:asciiTheme="majorHAnsi" w:hAnsiTheme="majorHAnsi"/>
          <w:sz w:val="20"/>
          <w:szCs w:val="20"/>
        </w:rPr>
        <w:t xml:space="preserve"> “Per la scuola, competenze e </w:t>
      </w:r>
      <w:r w:rsidR="000408C9" w:rsidRPr="004D38DA">
        <w:rPr>
          <w:rFonts w:asciiTheme="majorHAnsi" w:hAnsiTheme="majorHAnsi"/>
          <w:sz w:val="20"/>
          <w:szCs w:val="20"/>
        </w:rPr>
        <w:t>ambienti</w:t>
      </w:r>
      <w:r w:rsidR="00F007AD" w:rsidRPr="00C71298">
        <w:rPr>
          <w:rFonts w:asciiTheme="majorHAnsi" w:hAnsiTheme="majorHAnsi"/>
          <w:sz w:val="20"/>
          <w:szCs w:val="20"/>
        </w:rPr>
        <w:t xml:space="preserve"> per l’apprendimento” 2014-2020. </w:t>
      </w:r>
    </w:p>
    <w:p w:rsidR="00F007AD" w:rsidRPr="00C71298" w:rsidRDefault="00F007AD" w:rsidP="00035FC5">
      <w:pPr>
        <w:spacing w:after="0"/>
        <w:ind w:left="72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Avviso pubblico</w:t>
      </w:r>
      <w:r w:rsidR="00F37864">
        <w:rPr>
          <w:rFonts w:asciiTheme="majorHAnsi" w:hAnsiTheme="majorHAnsi"/>
          <w:sz w:val="20"/>
          <w:szCs w:val="20"/>
        </w:rPr>
        <w:t xml:space="preserve"> </w:t>
      </w:r>
      <w:r w:rsidRPr="00C7129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F37864">
        <w:rPr>
          <w:rFonts w:asciiTheme="majorHAnsi" w:hAnsiTheme="majorHAnsi"/>
          <w:sz w:val="20"/>
          <w:szCs w:val="20"/>
        </w:rPr>
        <w:t>prot</w:t>
      </w:r>
      <w:proofErr w:type="spellEnd"/>
      <w:r w:rsidR="00F37864">
        <w:rPr>
          <w:rFonts w:asciiTheme="majorHAnsi" w:hAnsiTheme="majorHAnsi"/>
          <w:sz w:val="20"/>
          <w:szCs w:val="20"/>
        </w:rPr>
        <w:t xml:space="preserve">. 10862 del 16 settembre 2016  </w:t>
      </w:r>
      <w:r w:rsidRPr="00C71298">
        <w:rPr>
          <w:rFonts w:asciiTheme="majorHAnsi" w:hAnsiTheme="majorHAnsi"/>
          <w:sz w:val="20"/>
          <w:szCs w:val="20"/>
        </w:rPr>
        <w:t>“Progetti di inclusione sociale e lotta al disagio nonché per garantire l’apertura delle scuole oltre l’orario scolastico soprattutto nelle aree a rischio e in quelle periferiche”. Asse I – Istruzione – Fondo Sociale Europeo (FSE).</w:t>
      </w:r>
    </w:p>
    <w:p w:rsidR="00F007AD" w:rsidRPr="00C71298" w:rsidRDefault="00F007AD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Adozione modifiche PTOF;</w:t>
      </w:r>
    </w:p>
    <w:p w:rsidR="00F007AD" w:rsidRPr="00C71298" w:rsidRDefault="00F007AD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Regolamento ERASMUS PLUS;</w:t>
      </w:r>
    </w:p>
    <w:p w:rsidR="00F007AD" w:rsidRPr="00C71298" w:rsidRDefault="0081615E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Interventi in favore delle scuole e delle facoltà universitarie siciliane per lo svolgimento di attività per la formazione civile degli alunni – art.14 della legge regionale 13/09/1999 n.20. Es. Fin. 2016 – cap. 373713;</w:t>
      </w:r>
    </w:p>
    <w:p w:rsidR="0081615E" w:rsidRPr="00C71298" w:rsidRDefault="0081615E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 xml:space="preserve">Valutazione ad effettuare servizi fotografici e/o video per la scuola </w:t>
      </w:r>
      <w:proofErr w:type="spellStart"/>
      <w:r w:rsidRPr="00C71298">
        <w:rPr>
          <w:rFonts w:asciiTheme="majorHAnsi" w:hAnsiTheme="majorHAnsi"/>
          <w:sz w:val="20"/>
          <w:szCs w:val="20"/>
        </w:rPr>
        <w:t>a.s.</w:t>
      </w:r>
      <w:proofErr w:type="spellEnd"/>
      <w:r w:rsidRPr="00C71298">
        <w:rPr>
          <w:rFonts w:asciiTheme="majorHAnsi" w:hAnsiTheme="majorHAnsi"/>
          <w:sz w:val="20"/>
          <w:szCs w:val="20"/>
        </w:rPr>
        <w:t xml:space="preserve"> 2016/2017;</w:t>
      </w:r>
    </w:p>
    <w:p w:rsidR="0081615E" w:rsidRPr="00C71298" w:rsidRDefault="0081615E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Rinnovo contratto R.S.P.P.;</w:t>
      </w:r>
    </w:p>
    <w:p w:rsidR="00AA4A50" w:rsidRPr="00C71298" w:rsidRDefault="00F007AD" w:rsidP="00C71298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Varie ed eventuali.</w:t>
      </w:r>
    </w:p>
    <w:p w:rsidR="00AA4A50" w:rsidRPr="00C71298" w:rsidRDefault="00AA4A50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Risulta assente Il Dirigente Scolastico, Prof. Vito Pecoraro.</w:t>
      </w:r>
    </w:p>
    <w:p w:rsidR="00F007AD" w:rsidRPr="00C71298" w:rsidRDefault="00F007AD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Alla seduta sono presenti:</w:t>
      </w:r>
    </w:p>
    <w:p w:rsidR="00F007AD" w:rsidRPr="00C71298" w:rsidRDefault="00F007AD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Per la componente genitori sono presenti</w:t>
      </w:r>
      <w:r w:rsidR="00AA4A50" w:rsidRPr="00C71298">
        <w:rPr>
          <w:rFonts w:asciiTheme="majorHAnsi" w:hAnsiTheme="majorHAnsi"/>
          <w:sz w:val="20"/>
          <w:szCs w:val="20"/>
        </w:rPr>
        <w:t xml:space="preserve"> le sig.re Acquaviva Francesca, Cona Maria Angela </w:t>
      </w:r>
      <w:r w:rsidRPr="00C71298">
        <w:rPr>
          <w:rFonts w:asciiTheme="majorHAnsi" w:hAnsiTheme="majorHAnsi"/>
          <w:sz w:val="20"/>
          <w:szCs w:val="20"/>
        </w:rPr>
        <w:t xml:space="preserve">Di Paola Giuseppa, </w:t>
      </w:r>
      <w:proofErr w:type="spellStart"/>
      <w:r w:rsidRPr="00C71298">
        <w:rPr>
          <w:rFonts w:asciiTheme="majorHAnsi" w:hAnsiTheme="majorHAnsi"/>
          <w:sz w:val="20"/>
          <w:szCs w:val="20"/>
        </w:rPr>
        <w:t>Gallozzi</w:t>
      </w:r>
      <w:proofErr w:type="spellEnd"/>
      <w:r w:rsidRPr="00C71298">
        <w:rPr>
          <w:rFonts w:asciiTheme="majorHAnsi" w:hAnsiTheme="majorHAnsi"/>
          <w:sz w:val="20"/>
          <w:szCs w:val="20"/>
        </w:rPr>
        <w:t xml:space="preserve"> Arianna, Pistoia Rosaria, </w:t>
      </w:r>
      <w:proofErr w:type="spellStart"/>
      <w:r w:rsidRPr="00C71298">
        <w:rPr>
          <w:rFonts w:asciiTheme="majorHAnsi" w:hAnsiTheme="majorHAnsi"/>
          <w:sz w:val="20"/>
          <w:szCs w:val="20"/>
        </w:rPr>
        <w:t>Ribaudo</w:t>
      </w:r>
      <w:proofErr w:type="spellEnd"/>
      <w:r w:rsidRPr="00C71298">
        <w:rPr>
          <w:rFonts w:asciiTheme="majorHAnsi" w:hAnsiTheme="majorHAnsi"/>
          <w:sz w:val="20"/>
          <w:szCs w:val="20"/>
        </w:rPr>
        <w:t xml:space="preserve"> Aureliana, </w:t>
      </w:r>
      <w:proofErr w:type="spellStart"/>
      <w:r w:rsidRPr="00C71298">
        <w:rPr>
          <w:rFonts w:asciiTheme="majorHAnsi" w:hAnsiTheme="majorHAnsi"/>
          <w:sz w:val="20"/>
          <w:szCs w:val="20"/>
        </w:rPr>
        <w:t>Ruvutuso</w:t>
      </w:r>
      <w:r w:rsidR="00AA4A50" w:rsidRPr="00C71298">
        <w:rPr>
          <w:rFonts w:asciiTheme="majorHAnsi" w:hAnsiTheme="majorHAnsi"/>
          <w:sz w:val="20"/>
          <w:szCs w:val="20"/>
        </w:rPr>
        <w:t>Graziella</w:t>
      </w:r>
      <w:proofErr w:type="spellEnd"/>
      <w:r w:rsidR="00AA4A50" w:rsidRPr="00C71298">
        <w:rPr>
          <w:rFonts w:asciiTheme="majorHAnsi" w:hAnsiTheme="majorHAnsi"/>
          <w:sz w:val="20"/>
          <w:szCs w:val="20"/>
        </w:rPr>
        <w:t xml:space="preserve"> e </w:t>
      </w:r>
      <w:proofErr w:type="spellStart"/>
      <w:r w:rsidR="00AA4A50" w:rsidRPr="00C71298">
        <w:rPr>
          <w:rFonts w:asciiTheme="majorHAnsi" w:hAnsiTheme="majorHAnsi"/>
          <w:sz w:val="20"/>
          <w:szCs w:val="20"/>
        </w:rPr>
        <w:t>Vitellaro</w:t>
      </w:r>
      <w:proofErr w:type="spellEnd"/>
      <w:r w:rsidR="00AA4A50" w:rsidRPr="00C71298">
        <w:rPr>
          <w:rFonts w:asciiTheme="majorHAnsi" w:hAnsiTheme="majorHAnsi"/>
          <w:sz w:val="20"/>
          <w:szCs w:val="20"/>
        </w:rPr>
        <w:t xml:space="preserve"> Concetta</w:t>
      </w:r>
      <w:r w:rsidRPr="00C71298">
        <w:rPr>
          <w:rFonts w:asciiTheme="majorHAnsi" w:hAnsiTheme="majorHAnsi"/>
          <w:sz w:val="20"/>
          <w:szCs w:val="20"/>
        </w:rPr>
        <w:t xml:space="preserve">. Per la componente docenti, sono presenti gli insegnanti Bisconti Maria Francesca, </w:t>
      </w:r>
      <w:r w:rsidR="00AA4A50" w:rsidRPr="00C71298">
        <w:rPr>
          <w:rFonts w:asciiTheme="majorHAnsi" w:hAnsiTheme="majorHAnsi"/>
          <w:sz w:val="20"/>
          <w:szCs w:val="20"/>
        </w:rPr>
        <w:t xml:space="preserve">Colonna Cristina, </w:t>
      </w:r>
      <w:r w:rsidRPr="00C71298">
        <w:rPr>
          <w:rFonts w:asciiTheme="majorHAnsi" w:hAnsiTheme="majorHAnsi"/>
          <w:sz w:val="20"/>
          <w:szCs w:val="20"/>
        </w:rPr>
        <w:t xml:space="preserve">Di Martino Maria Catena, Ferraro Maria, Ferro Maria Laura, Oliva Lucia e </w:t>
      </w:r>
      <w:proofErr w:type="spellStart"/>
      <w:r w:rsidRPr="00C71298">
        <w:rPr>
          <w:rFonts w:asciiTheme="majorHAnsi" w:hAnsiTheme="majorHAnsi"/>
          <w:sz w:val="20"/>
          <w:szCs w:val="20"/>
        </w:rPr>
        <w:t>Paraula</w:t>
      </w:r>
      <w:proofErr w:type="spellEnd"/>
      <w:r w:rsidRPr="00C71298">
        <w:rPr>
          <w:rFonts w:asciiTheme="majorHAnsi" w:hAnsiTheme="majorHAnsi"/>
          <w:sz w:val="20"/>
          <w:szCs w:val="20"/>
        </w:rPr>
        <w:t xml:space="preserve"> Franca; </w:t>
      </w:r>
      <w:r w:rsidR="00AA4A50" w:rsidRPr="00C71298">
        <w:rPr>
          <w:rFonts w:asciiTheme="majorHAnsi" w:hAnsiTheme="majorHAnsi"/>
          <w:sz w:val="20"/>
          <w:szCs w:val="20"/>
        </w:rPr>
        <w:t xml:space="preserve">risulta </w:t>
      </w:r>
      <w:proofErr w:type="spellStart"/>
      <w:r w:rsidR="00AA4A50" w:rsidRPr="00C71298">
        <w:rPr>
          <w:rFonts w:asciiTheme="majorHAnsi" w:hAnsiTheme="majorHAnsi"/>
          <w:sz w:val="20"/>
          <w:szCs w:val="20"/>
        </w:rPr>
        <w:t>assenteil</w:t>
      </w:r>
      <w:proofErr w:type="spellEnd"/>
      <w:r w:rsidR="00AA4A50" w:rsidRPr="00C71298">
        <w:rPr>
          <w:rFonts w:asciiTheme="majorHAnsi" w:hAnsiTheme="majorHAnsi"/>
          <w:sz w:val="20"/>
          <w:szCs w:val="20"/>
        </w:rPr>
        <w:t xml:space="preserve"> prof. Cicciari Alessandro</w:t>
      </w:r>
      <w:r w:rsidRPr="00C71298">
        <w:rPr>
          <w:rFonts w:asciiTheme="majorHAnsi" w:hAnsiTheme="majorHAnsi"/>
          <w:sz w:val="20"/>
          <w:szCs w:val="20"/>
        </w:rPr>
        <w:t xml:space="preserve">. Per la componente ATA, risulta presente il sig. </w:t>
      </w:r>
      <w:proofErr w:type="spellStart"/>
      <w:r w:rsidRPr="00C71298">
        <w:rPr>
          <w:rFonts w:asciiTheme="majorHAnsi" w:hAnsiTheme="majorHAnsi"/>
          <w:sz w:val="20"/>
          <w:szCs w:val="20"/>
        </w:rPr>
        <w:t>Riccobono</w:t>
      </w:r>
      <w:proofErr w:type="spellEnd"/>
      <w:r w:rsidRPr="00C71298">
        <w:rPr>
          <w:rFonts w:asciiTheme="majorHAnsi" w:hAnsiTheme="majorHAnsi"/>
          <w:sz w:val="20"/>
          <w:szCs w:val="20"/>
        </w:rPr>
        <w:t xml:space="preserve"> Fulvio.</w:t>
      </w:r>
    </w:p>
    <w:p w:rsidR="00F007AD" w:rsidRPr="00C71298" w:rsidRDefault="00F007AD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Presiede la seduta la sig.ra Di Paola Giuseppa, svolge la funzione di segretaria la prof.ssa Oliva Lucia.</w:t>
      </w:r>
    </w:p>
    <w:p w:rsidR="00F007AD" w:rsidRPr="00C71298" w:rsidRDefault="00F007AD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 xml:space="preserve">Constatata la presenza del numero legale, si dichiara aperta la seduta. </w:t>
      </w:r>
    </w:p>
    <w:p w:rsidR="004E68D5" w:rsidRPr="00C71298" w:rsidRDefault="004E68D5" w:rsidP="00C71298">
      <w:pPr>
        <w:keepNext/>
        <w:keepLines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b/>
          <w:sz w:val="20"/>
          <w:szCs w:val="20"/>
        </w:rPr>
        <w:t>Punto 1 – Lettura verbale seduta precedente.</w:t>
      </w:r>
    </w:p>
    <w:p w:rsidR="004E68D5" w:rsidRPr="00C71298" w:rsidRDefault="004E68D5" w:rsidP="00C71298">
      <w:pPr>
        <w:keepNext/>
        <w:keepLines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La segretaria legge il verbale della seduta precedente e i componenti del consiglio ne prendono atto.</w:t>
      </w:r>
    </w:p>
    <w:p w:rsidR="008E0795" w:rsidRPr="00C71298" w:rsidRDefault="004E68D5" w:rsidP="00C71298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C71298">
        <w:rPr>
          <w:rFonts w:asciiTheme="majorHAnsi" w:hAnsiTheme="majorHAnsi"/>
          <w:b/>
          <w:sz w:val="20"/>
          <w:szCs w:val="20"/>
        </w:rPr>
        <w:t>Punto 2 – Modifica al P.A. 2016 (Prelevamento avanzo di amministrazione)</w:t>
      </w:r>
    </w:p>
    <w:p w:rsidR="00F24EAE" w:rsidRPr="00C71298" w:rsidRDefault="00F24EAE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 xml:space="preserve">Prende la parola il Direttore che illustra ai componenti del Consiglio </w:t>
      </w:r>
      <w:r w:rsidR="00E621FE" w:rsidRPr="00C71298">
        <w:rPr>
          <w:rFonts w:asciiTheme="majorHAnsi" w:hAnsiTheme="majorHAnsi"/>
          <w:sz w:val="20"/>
          <w:szCs w:val="20"/>
        </w:rPr>
        <w:t>la proposta</w:t>
      </w:r>
      <w:r w:rsidRPr="00C71298">
        <w:rPr>
          <w:rFonts w:asciiTheme="majorHAnsi" w:hAnsiTheme="majorHAnsi"/>
          <w:sz w:val="20"/>
          <w:szCs w:val="20"/>
        </w:rPr>
        <w:t xml:space="preserve">della giunta </w:t>
      </w:r>
      <w:r w:rsidR="00E621FE" w:rsidRPr="00C71298">
        <w:rPr>
          <w:rFonts w:asciiTheme="majorHAnsi" w:hAnsiTheme="majorHAnsi"/>
          <w:sz w:val="20"/>
          <w:szCs w:val="20"/>
        </w:rPr>
        <w:t xml:space="preserve">di </w:t>
      </w:r>
      <w:r w:rsidRPr="00C71298">
        <w:rPr>
          <w:rFonts w:asciiTheme="majorHAnsi" w:hAnsiTheme="majorHAnsi"/>
          <w:sz w:val="20"/>
          <w:szCs w:val="20"/>
        </w:rPr>
        <w:t>preleva</w:t>
      </w:r>
      <w:r w:rsidR="00E621FE" w:rsidRPr="00C71298">
        <w:rPr>
          <w:rFonts w:asciiTheme="majorHAnsi" w:hAnsiTheme="majorHAnsi"/>
          <w:sz w:val="20"/>
          <w:szCs w:val="20"/>
        </w:rPr>
        <w:t>re</w:t>
      </w:r>
      <w:r w:rsidRPr="00C71298">
        <w:rPr>
          <w:rFonts w:asciiTheme="majorHAnsi" w:hAnsiTheme="majorHAnsi"/>
          <w:sz w:val="20"/>
          <w:szCs w:val="20"/>
        </w:rPr>
        <w:t xml:space="preserve"> dall’avanzo libero la somma di € 2.791,34 per restituzione alla Comunità Europea</w:t>
      </w:r>
      <w:r w:rsidR="00E621FE" w:rsidRPr="00C71298">
        <w:rPr>
          <w:rFonts w:asciiTheme="majorHAnsi" w:hAnsiTheme="majorHAnsi"/>
          <w:sz w:val="20"/>
          <w:szCs w:val="20"/>
        </w:rPr>
        <w:t>,</w:t>
      </w:r>
      <w:r w:rsidRPr="00C71298">
        <w:rPr>
          <w:rFonts w:asciiTheme="majorHAnsi" w:hAnsiTheme="majorHAnsi"/>
          <w:sz w:val="20"/>
          <w:szCs w:val="20"/>
        </w:rPr>
        <w:t xml:space="preserve"> in quanto non utilizzata per il progetto PON F3.</w:t>
      </w:r>
    </w:p>
    <w:p w:rsidR="00F24EAE" w:rsidRPr="00C71298" w:rsidRDefault="00F24EAE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 xml:space="preserve">Si chiarisce che la somma doveva essere utilizzata per pagare le fatture della ditta IAS di Palermo e la Ditta Giuliano di Monreale; già </w:t>
      </w:r>
      <w:r w:rsidR="00E621FE" w:rsidRPr="00C71298">
        <w:rPr>
          <w:rFonts w:asciiTheme="majorHAnsi" w:hAnsiTheme="majorHAnsi"/>
          <w:sz w:val="20"/>
          <w:szCs w:val="20"/>
        </w:rPr>
        <w:t>sin dai primi acconti le stesse</w:t>
      </w:r>
      <w:r w:rsidRPr="00C71298">
        <w:rPr>
          <w:rFonts w:asciiTheme="majorHAnsi" w:hAnsiTheme="majorHAnsi"/>
          <w:sz w:val="20"/>
          <w:szCs w:val="20"/>
        </w:rPr>
        <w:t xml:space="preserve"> non si so</w:t>
      </w:r>
      <w:r w:rsidR="00E621FE" w:rsidRPr="00C71298">
        <w:rPr>
          <w:rFonts w:asciiTheme="majorHAnsi" w:hAnsiTheme="majorHAnsi"/>
          <w:sz w:val="20"/>
          <w:szCs w:val="20"/>
        </w:rPr>
        <w:t>no potute pagare perché il DURC dei medesimi risultava</w:t>
      </w:r>
      <w:r w:rsidRPr="00C71298">
        <w:rPr>
          <w:rFonts w:asciiTheme="majorHAnsi" w:hAnsiTheme="majorHAnsi"/>
          <w:sz w:val="20"/>
          <w:szCs w:val="20"/>
        </w:rPr>
        <w:t xml:space="preserve">  irregolare.  Nel mese di Dicembre 2015 l’Autor</w:t>
      </w:r>
      <w:r w:rsidR="00E621FE" w:rsidRPr="00C71298">
        <w:rPr>
          <w:rFonts w:asciiTheme="majorHAnsi" w:hAnsiTheme="majorHAnsi"/>
          <w:sz w:val="20"/>
          <w:szCs w:val="20"/>
        </w:rPr>
        <w:t>it</w:t>
      </w:r>
      <w:r w:rsidR="00DC717D">
        <w:rPr>
          <w:rFonts w:asciiTheme="majorHAnsi" w:hAnsiTheme="majorHAnsi"/>
          <w:sz w:val="20"/>
          <w:szCs w:val="20"/>
        </w:rPr>
        <w:t xml:space="preserve">à </w:t>
      </w:r>
      <w:r w:rsidR="00E621FE" w:rsidRPr="00C71298">
        <w:rPr>
          <w:rFonts w:asciiTheme="majorHAnsi" w:hAnsiTheme="majorHAnsi"/>
          <w:sz w:val="20"/>
          <w:szCs w:val="20"/>
        </w:rPr>
        <w:t>di gestione ha trasmesso il</w:t>
      </w:r>
      <w:r w:rsidRPr="00C71298">
        <w:rPr>
          <w:rFonts w:asciiTheme="majorHAnsi" w:hAnsiTheme="majorHAnsi"/>
          <w:sz w:val="20"/>
          <w:szCs w:val="20"/>
        </w:rPr>
        <w:t xml:space="preserve"> saldo  del progetto</w:t>
      </w:r>
      <w:r w:rsidR="00E621FE" w:rsidRPr="00C71298">
        <w:rPr>
          <w:rFonts w:asciiTheme="majorHAnsi" w:hAnsiTheme="majorHAnsi"/>
          <w:sz w:val="20"/>
          <w:szCs w:val="20"/>
        </w:rPr>
        <w:t>,</w:t>
      </w:r>
      <w:r w:rsidRPr="00C71298">
        <w:rPr>
          <w:rFonts w:asciiTheme="majorHAnsi" w:hAnsiTheme="majorHAnsi"/>
          <w:sz w:val="20"/>
          <w:szCs w:val="20"/>
        </w:rPr>
        <w:t xml:space="preserve"> chiedendo di effettuare i pagamenti in tempi brevissimi  e non più tardi del 20 dicembre.</w:t>
      </w:r>
    </w:p>
    <w:p w:rsidR="00F24EAE" w:rsidRPr="00C71298" w:rsidRDefault="00F24EAE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Purtroppo, nonostante la tempestività con cui si è operato nei pagam</w:t>
      </w:r>
      <w:r w:rsidR="00E621FE" w:rsidRPr="00C71298">
        <w:rPr>
          <w:rFonts w:asciiTheme="majorHAnsi" w:hAnsiTheme="majorHAnsi"/>
          <w:sz w:val="20"/>
          <w:szCs w:val="20"/>
        </w:rPr>
        <w:t xml:space="preserve">enti dei creditori del progetto, le ditte in questione </w:t>
      </w:r>
      <w:r w:rsidRPr="00C71298">
        <w:rPr>
          <w:rFonts w:asciiTheme="majorHAnsi" w:hAnsiTheme="majorHAnsi"/>
          <w:sz w:val="20"/>
          <w:szCs w:val="20"/>
        </w:rPr>
        <w:t>non potevano essere pagate nemmeno espletando la pro</w:t>
      </w:r>
      <w:r w:rsidR="00E621FE" w:rsidRPr="00C71298">
        <w:rPr>
          <w:rFonts w:asciiTheme="majorHAnsi" w:hAnsiTheme="majorHAnsi"/>
          <w:sz w:val="20"/>
          <w:szCs w:val="20"/>
        </w:rPr>
        <w:t>cedura sostitutiva</w:t>
      </w:r>
      <w:r w:rsidRPr="00C71298">
        <w:rPr>
          <w:rFonts w:asciiTheme="majorHAnsi" w:hAnsiTheme="majorHAnsi"/>
          <w:sz w:val="20"/>
          <w:szCs w:val="20"/>
        </w:rPr>
        <w:t xml:space="preserve"> all’INPS</w:t>
      </w:r>
      <w:r w:rsidR="00E621FE" w:rsidRPr="00C71298">
        <w:rPr>
          <w:rFonts w:asciiTheme="majorHAnsi" w:hAnsiTheme="majorHAnsi"/>
          <w:sz w:val="20"/>
          <w:szCs w:val="20"/>
        </w:rPr>
        <w:t>, in quanto</w:t>
      </w:r>
      <w:r w:rsidRPr="00C71298">
        <w:rPr>
          <w:rFonts w:asciiTheme="majorHAnsi" w:hAnsiTheme="majorHAnsi"/>
          <w:sz w:val="20"/>
          <w:szCs w:val="20"/>
        </w:rPr>
        <w:t xml:space="preserve"> il sistema di controll</w:t>
      </w:r>
      <w:r w:rsidR="00E621FE" w:rsidRPr="00C71298">
        <w:rPr>
          <w:rFonts w:asciiTheme="majorHAnsi" w:hAnsiTheme="majorHAnsi"/>
          <w:sz w:val="20"/>
          <w:szCs w:val="20"/>
        </w:rPr>
        <w:t>o delle regolarità contributive</w:t>
      </w:r>
      <w:r w:rsidRPr="00C71298">
        <w:rPr>
          <w:rFonts w:asciiTheme="majorHAnsi" w:hAnsiTheme="majorHAnsi"/>
          <w:sz w:val="20"/>
          <w:szCs w:val="20"/>
        </w:rPr>
        <w:t xml:space="preserve"> conti</w:t>
      </w:r>
      <w:r w:rsidR="00E621FE" w:rsidRPr="00C71298">
        <w:rPr>
          <w:rFonts w:asciiTheme="majorHAnsi" w:hAnsiTheme="majorHAnsi"/>
          <w:sz w:val="20"/>
          <w:szCs w:val="20"/>
        </w:rPr>
        <w:t>nuava a segnalare che erano in ”</w:t>
      </w:r>
      <w:r w:rsidRPr="00C71298">
        <w:rPr>
          <w:rFonts w:asciiTheme="majorHAnsi" w:hAnsiTheme="majorHAnsi"/>
          <w:sz w:val="20"/>
          <w:szCs w:val="20"/>
        </w:rPr>
        <w:t>verifica”. Sono state conta</w:t>
      </w:r>
      <w:r w:rsidR="00E621FE" w:rsidRPr="00C71298">
        <w:rPr>
          <w:rFonts w:asciiTheme="majorHAnsi" w:hAnsiTheme="majorHAnsi"/>
          <w:sz w:val="20"/>
          <w:szCs w:val="20"/>
        </w:rPr>
        <w:t>ttate le ditte che avevano avuto dei cambi di ragione sociale</w:t>
      </w:r>
      <w:r w:rsidRPr="00C71298">
        <w:rPr>
          <w:rFonts w:asciiTheme="majorHAnsi" w:hAnsiTheme="majorHAnsi"/>
          <w:sz w:val="20"/>
          <w:szCs w:val="20"/>
        </w:rPr>
        <w:t xml:space="preserve"> per morte dei titolari o altro e nessuno delle due ditte (che non ha mai fatto una lette</w:t>
      </w:r>
      <w:r w:rsidR="00E621FE" w:rsidRPr="00C71298">
        <w:rPr>
          <w:rFonts w:asciiTheme="majorHAnsi" w:hAnsiTheme="majorHAnsi"/>
          <w:sz w:val="20"/>
          <w:szCs w:val="20"/>
        </w:rPr>
        <w:t>ra di sollecito per i pagamenti</w:t>
      </w:r>
      <w:r w:rsidRPr="00C71298">
        <w:rPr>
          <w:rFonts w:asciiTheme="majorHAnsi" w:hAnsiTheme="majorHAnsi"/>
          <w:sz w:val="20"/>
          <w:szCs w:val="20"/>
        </w:rPr>
        <w:t>)ha fatto qualcosa per ris</w:t>
      </w:r>
      <w:r w:rsidR="00E621FE" w:rsidRPr="00C71298">
        <w:rPr>
          <w:rFonts w:asciiTheme="majorHAnsi" w:hAnsiTheme="majorHAnsi"/>
          <w:sz w:val="20"/>
          <w:szCs w:val="20"/>
        </w:rPr>
        <w:t>olvere l’insolvenza.  Alla fine</w:t>
      </w:r>
      <w:r w:rsidRPr="00C71298">
        <w:rPr>
          <w:rFonts w:asciiTheme="majorHAnsi" w:hAnsiTheme="majorHAnsi"/>
          <w:sz w:val="20"/>
          <w:szCs w:val="20"/>
        </w:rPr>
        <w:t xml:space="preserve"> non sono state pagate per i motivi sopracitati. Se non verranno richiesti i pagamenti nel giro di cinque anni sa</w:t>
      </w:r>
      <w:r w:rsidR="00E621FE" w:rsidRPr="00C71298">
        <w:rPr>
          <w:rFonts w:asciiTheme="majorHAnsi" w:hAnsiTheme="majorHAnsi"/>
          <w:sz w:val="20"/>
          <w:szCs w:val="20"/>
        </w:rPr>
        <w:t xml:space="preserve">ranno radiati; </w:t>
      </w:r>
      <w:r w:rsidRPr="00C71298">
        <w:rPr>
          <w:rFonts w:asciiTheme="majorHAnsi" w:hAnsiTheme="majorHAnsi"/>
          <w:sz w:val="20"/>
          <w:szCs w:val="20"/>
        </w:rPr>
        <w:t xml:space="preserve">si fa presente che sono passati </w:t>
      </w:r>
      <w:proofErr w:type="spellStart"/>
      <w:r w:rsidRPr="00C71298">
        <w:rPr>
          <w:rFonts w:asciiTheme="majorHAnsi" w:hAnsiTheme="majorHAnsi"/>
          <w:sz w:val="20"/>
          <w:szCs w:val="20"/>
        </w:rPr>
        <w:t>gìà</w:t>
      </w:r>
      <w:proofErr w:type="spellEnd"/>
      <w:r w:rsidRPr="00C71298">
        <w:rPr>
          <w:rFonts w:asciiTheme="majorHAnsi" w:hAnsiTheme="majorHAnsi"/>
          <w:sz w:val="20"/>
          <w:szCs w:val="20"/>
        </w:rPr>
        <w:t xml:space="preserve">  due anni.</w:t>
      </w:r>
    </w:p>
    <w:p w:rsidR="00F24EAE" w:rsidRPr="00C71298" w:rsidRDefault="00F24EAE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Pertanto</w:t>
      </w:r>
      <w:r w:rsidR="00E621FE" w:rsidRPr="00C71298">
        <w:rPr>
          <w:rFonts w:asciiTheme="majorHAnsi" w:hAnsiTheme="majorHAnsi"/>
          <w:sz w:val="20"/>
          <w:szCs w:val="20"/>
        </w:rPr>
        <w:t>,</w:t>
      </w:r>
      <w:r w:rsidRPr="00C71298">
        <w:rPr>
          <w:rFonts w:asciiTheme="majorHAnsi" w:hAnsiTheme="majorHAnsi"/>
          <w:sz w:val="20"/>
          <w:szCs w:val="20"/>
        </w:rPr>
        <w:t xml:space="preserve"> si propone di prelevare dall’avanzo libero la somma d</w:t>
      </w:r>
      <w:r w:rsidR="00E621FE" w:rsidRPr="00C71298">
        <w:rPr>
          <w:rFonts w:asciiTheme="majorHAnsi" w:hAnsiTheme="majorHAnsi"/>
          <w:sz w:val="20"/>
          <w:szCs w:val="20"/>
        </w:rPr>
        <w:t>i € 2791,34 per inserirlo nell’a</w:t>
      </w:r>
      <w:r w:rsidRPr="00C71298">
        <w:rPr>
          <w:rFonts w:asciiTheme="majorHAnsi" w:hAnsiTheme="majorHAnsi"/>
          <w:sz w:val="20"/>
          <w:szCs w:val="20"/>
        </w:rPr>
        <w:t>ttività  A1 Aggregato 8/1/3  rimborsi e poste correttive al fine di procedere alla restituzione del</w:t>
      </w:r>
      <w:r w:rsidR="00E621FE" w:rsidRPr="00C71298">
        <w:rPr>
          <w:rFonts w:asciiTheme="majorHAnsi" w:hAnsiTheme="majorHAnsi"/>
          <w:sz w:val="20"/>
          <w:szCs w:val="20"/>
        </w:rPr>
        <w:t>l’importo</w:t>
      </w:r>
      <w:r w:rsidRPr="00C71298">
        <w:rPr>
          <w:rFonts w:asciiTheme="majorHAnsi" w:hAnsiTheme="majorHAnsi"/>
          <w:sz w:val="20"/>
          <w:szCs w:val="20"/>
        </w:rPr>
        <w:t xml:space="preserve">. </w:t>
      </w:r>
      <w:r w:rsidRPr="00DC717D">
        <w:rPr>
          <w:rFonts w:asciiTheme="majorHAnsi" w:hAnsiTheme="majorHAnsi"/>
          <w:sz w:val="20"/>
          <w:szCs w:val="20"/>
        </w:rPr>
        <w:t xml:space="preserve">La proposta di modifica del DS </w:t>
      </w:r>
      <w:r w:rsidRPr="00DC717D">
        <w:rPr>
          <w:rFonts w:asciiTheme="majorHAnsi" w:hAnsiTheme="majorHAnsi"/>
          <w:sz w:val="20"/>
          <w:szCs w:val="20"/>
        </w:rPr>
        <w:lastRenderedPageBreak/>
        <w:t xml:space="preserve">viene allegata </w:t>
      </w:r>
      <w:r w:rsidR="0075485E" w:rsidRPr="00C71298">
        <w:rPr>
          <w:rFonts w:asciiTheme="majorHAnsi" w:hAnsiTheme="majorHAnsi"/>
          <w:sz w:val="20"/>
          <w:szCs w:val="20"/>
        </w:rPr>
        <w:t>(ALL. N.1)</w:t>
      </w:r>
      <w:r w:rsidR="0075485E">
        <w:rPr>
          <w:rFonts w:asciiTheme="majorHAnsi" w:hAnsiTheme="majorHAnsi"/>
          <w:sz w:val="20"/>
          <w:szCs w:val="20"/>
        </w:rPr>
        <w:t xml:space="preserve"> </w:t>
      </w:r>
      <w:r w:rsidRPr="00DC717D">
        <w:rPr>
          <w:rFonts w:asciiTheme="majorHAnsi" w:hAnsiTheme="majorHAnsi"/>
          <w:sz w:val="20"/>
          <w:szCs w:val="20"/>
        </w:rPr>
        <w:t>al presente verbale e ne fa parte integrante.</w:t>
      </w:r>
      <w:r w:rsidR="0049001A" w:rsidRPr="00C71298">
        <w:rPr>
          <w:rFonts w:asciiTheme="majorHAnsi" w:hAnsiTheme="majorHAnsi"/>
          <w:sz w:val="20"/>
          <w:szCs w:val="20"/>
        </w:rPr>
        <w:t xml:space="preserve"> Il Consiglio approva e delibera all’unanimità (</w:t>
      </w:r>
      <w:r w:rsidR="0049001A" w:rsidRPr="00C71298">
        <w:rPr>
          <w:rFonts w:asciiTheme="majorHAnsi" w:hAnsiTheme="majorHAnsi"/>
          <w:sz w:val="20"/>
          <w:szCs w:val="20"/>
          <w:u w:val="single"/>
        </w:rPr>
        <w:t>DELIBERA N.31)</w:t>
      </w:r>
    </w:p>
    <w:p w:rsidR="004E68D5" w:rsidRPr="00C71298" w:rsidRDefault="004E68D5" w:rsidP="00C71298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C71298">
        <w:rPr>
          <w:rFonts w:asciiTheme="majorHAnsi" w:hAnsiTheme="majorHAnsi"/>
          <w:b/>
          <w:sz w:val="20"/>
          <w:szCs w:val="20"/>
        </w:rPr>
        <w:t>Punto 3 -  Trasmissione per conoscenza di decreti di variazione al P.A. 2016</w:t>
      </w:r>
    </w:p>
    <w:p w:rsidR="00797414" w:rsidRPr="00C71298" w:rsidRDefault="00797414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Prende la parola il Direttore dei Servizi che mette a conoscenza dei componenti del Consiglio i  sottoelencati decreti finalizzati, emanati dal Dirigente scolastico, per entrate finalizzate  che vengono allegati al presente verbale e ne fanno parte integrante:</w:t>
      </w:r>
    </w:p>
    <w:p w:rsidR="00797414" w:rsidRPr="00C71298" w:rsidRDefault="00797414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1.Contributo finalizzato per Manutenzione ordinaria comunale di € 11.106,48 (ALL. N.</w:t>
      </w:r>
      <w:r w:rsidR="0075485E">
        <w:rPr>
          <w:rFonts w:asciiTheme="majorHAnsi" w:hAnsiTheme="majorHAnsi"/>
          <w:sz w:val="20"/>
          <w:szCs w:val="20"/>
        </w:rPr>
        <w:t>2</w:t>
      </w:r>
      <w:r w:rsidRPr="00C71298">
        <w:rPr>
          <w:rFonts w:asciiTheme="majorHAnsi" w:hAnsiTheme="majorHAnsi"/>
          <w:sz w:val="20"/>
          <w:szCs w:val="20"/>
        </w:rPr>
        <w:t>);</w:t>
      </w:r>
    </w:p>
    <w:p w:rsidR="00797414" w:rsidRPr="00C71298" w:rsidRDefault="00797414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2.Contributo finalizzato per oneri comunali di € 4514,40 (ALL. N.</w:t>
      </w:r>
      <w:r w:rsidR="0075485E">
        <w:rPr>
          <w:rFonts w:asciiTheme="majorHAnsi" w:hAnsiTheme="majorHAnsi"/>
          <w:sz w:val="20"/>
          <w:szCs w:val="20"/>
        </w:rPr>
        <w:t>3</w:t>
      </w:r>
      <w:r w:rsidRPr="00C71298">
        <w:rPr>
          <w:rFonts w:asciiTheme="majorHAnsi" w:hAnsiTheme="majorHAnsi"/>
          <w:sz w:val="20"/>
          <w:szCs w:val="20"/>
        </w:rPr>
        <w:t>);</w:t>
      </w:r>
    </w:p>
    <w:p w:rsidR="00797414" w:rsidRPr="00C71298" w:rsidRDefault="00797414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3.Contributo ministeriale per visite fiscali non pagate di € 815,22 (ALL. N.</w:t>
      </w:r>
      <w:r w:rsidR="0075485E">
        <w:rPr>
          <w:rFonts w:asciiTheme="majorHAnsi" w:hAnsiTheme="majorHAnsi"/>
          <w:sz w:val="20"/>
          <w:szCs w:val="20"/>
        </w:rPr>
        <w:t>4</w:t>
      </w:r>
      <w:r w:rsidRPr="00C71298">
        <w:rPr>
          <w:rFonts w:asciiTheme="majorHAnsi" w:hAnsiTheme="majorHAnsi"/>
          <w:sz w:val="20"/>
          <w:szCs w:val="20"/>
        </w:rPr>
        <w:t>);</w:t>
      </w:r>
    </w:p>
    <w:p w:rsidR="00797414" w:rsidRPr="00C71298" w:rsidRDefault="00797414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 xml:space="preserve">4.Contributo frutta nella scuola </w:t>
      </w:r>
      <w:proofErr w:type="spellStart"/>
      <w:r w:rsidRPr="00C71298">
        <w:rPr>
          <w:rFonts w:asciiTheme="majorHAnsi" w:hAnsiTheme="majorHAnsi"/>
          <w:sz w:val="20"/>
          <w:szCs w:val="20"/>
        </w:rPr>
        <w:t>a.s.</w:t>
      </w:r>
      <w:proofErr w:type="spellEnd"/>
      <w:r w:rsidRPr="00C71298">
        <w:rPr>
          <w:rFonts w:asciiTheme="majorHAnsi" w:hAnsiTheme="majorHAnsi"/>
          <w:sz w:val="20"/>
          <w:szCs w:val="20"/>
        </w:rPr>
        <w:t xml:space="preserve"> 2015.16 di € 698,00 (ALL. N.</w:t>
      </w:r>
      <w:r w:rsidR="0075485E">
        <w:rPr>
          <w:rFonts w:asciiTheme="majorHAnsi" w:hAnsiTheme="majorHAnsi"/>
          <w:sz w:val="20"/>
          <w:szCs w:val="20"/>
        </w:rPr>
        <w:t>5</w:t>
      </w:r>
      <w:r w:rsidRPr="00C71298">
        <w:rPr>
          <w:rFonts w:asciiTheme="majorHAnsi" w:hAnsiTheme="majorHAnsi"/>
          <w:sz w:val="20"/>
          <w:szCs w:val="20"/>
        </w:rPr>
        <w:t>);</w:t>
      </w:r>
    </w:p>
    <w:p w:rsidR="00797414" w:rsidRPr="00C71298" w:rsidRDefault="00797414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 xml:space="preserve">5.Contributi volontari degli alunni </w:t>
      </w:r>
      <w:proofErr w:type="spellStart"/>
      <w:r w:rsidRPr="00C71298">
        <w:rPr>
          <w:rFonts w:asciiTheme="majorHAnsi" w:hAnsiTheme="majorHAnsi"/>
          <w:sz w:val="20"/>
          <w:szCs w:val="20"/>
        </w:rPr>
        <w:t>a.s.</w:t>
      </w:r>
      <w:proofErr w:type="spellEnd"/>
      <w:r w:rsidRPr="00C71298">
        <w:rPr>
          <w:rFonts w:asciiTheme="majorHAnsi" w:hAnsiTheme="majorHAnsi"/>
          <w:sz w:val="20"/>
          <w:szCs w:val="20"/>
        </w:rPr>
        <w:t xml:space="preserve"> 2015.16 per indirizzo sportivo e iscrizione di €1.400,00 (ALL. N.</w:t>
      </w:r>
      <w:r w:rsidR="0075485E">
        <w:rPr>
          <w:rFonts w:asciiTheme="majorHAnsi" w:hAnsiTheme="majorHAnsi"/>
          <w:sz w:val="20"/>
          <w:szCs w:val="20"/>
        </w:rPr>
        <w:t>6</w:t>
      </w:r>
      <w:r w:rsidRPr="00C71298">
        <w:rPr>
          <w:rFonts w:asciiTheme="majorHAnsi" w:hAnsiTheme="majorHAnsi"/>
          <w:sz w:val="20"/>
          <w:szCs w:val="20"/>
        </w:rPr>
        <w:t>)</w:t>
      </w:r>
    </w:p>
    <w:p w:rsidR="00797414" w:rsidRPr="00C71298" w:rsidRDefault="00797414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6.Storno tra aggregati dell’attività A1 dal 2/3/8 al 3/12/4 per spese assistente di lingua straniera di € 600,00 (ALL. N.</w:t>
      </w:r>
      <w:r w:rsidR="0075485E">
        <w:rPr>
          <w:rFonts w:asciiTheme="majorHAnsi" w:hAnsiTheme="majorHAnsi"/>
          <w:sz w:val="20"/>
          <w:szCs w:val="20"/>
        </w:rPr>
        <w:t>7</w:t>
      </w:r>
      <w:r w:rsidRPr="00C71298">
        <w:rPr>
          <w:rFonts w:asciiTheme="majorHAnsi" w:hAnsiTheme="majorHAnsi"/>
          <w:sz w:val="20"/>
          <w:szCs w:val="20"/>
        </w:rPr>
        <w:t>);</w:t>
      </w:r>
    </w:p>
    <w:p w:rsidR="00797414" w:rsidRPr="00C71298" w:rsidRDefault="00797414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 xml:space="preserve">7.Contributo ministeriale per alunni disabili </w:t>
      </w:r>
      <w:proofErr w:type="spellStart"/>
      <w:r w:rsidRPr="00C71298">
        <w:rPr>
          <w:rFonts w:asciiTheme="majorHAnsi" w:hAnsiTheme="majorHAnsi"/>
          <w:sz w:val="20"/>
          <w:szCs w:val="20"/>
        </w:rPr>
        <w:t>a.s.</w:t>
      </w:r>
      <w:proofErr w:type="spellEnd"/>
      <w:r w:rsidRPr="00C71298">
        <w:rPr>
          <w:rFonts w:asciiTheme="majorHAnsi" w:hAnsiTheme="majorHAnsi"/>
          <w:sz w:val="20"/>
          <w:szCs w:val="20"/>
        </w:rPr>
        <w:t xml:space="preserve"> 2016/17 di € 245,00 (ALL. N.</w:t>
      </w:r>
      <w:r w:rsidR="0075485E">
        <w:rPr>
          <w:rFonts w:asciiTheme="majorHAnsi" w:hAnsiTheme="majorHAnsi"/>
          <w:sz w:val="20"/>
          <w:szCs w:val="20"/>
        </w:rPr>
        <w:t>8</w:t>
      </w:r>
      <w:r w:rsidRPr="00C71298">
        <w:rPr>
          <w:rFonts w:asciiTheme="majorHAnsi" w:hAnsiTheme="majorHAnsi"/>
          <w:sz w:val="20"/>
          <w:szCs w:val="20"/>
        </w:rPr>
        <w:t>);</w:t>
      </w:r>
    </w:p>
    <w:p w:rsidR="00797414" w:rsidRPr="00C71298" w:rsidRDefault="00797414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8.Contributo finalizzato Unione Europea  per Progetto Erasmus plus di € 28.675,00 (ALL. N.</w:t>
      </w:r>
      <w:r w:rsidR="0075485E">
        <w:rPr>
          <w:rFonts w:asciiTheme="majorHAnsi" w:hAnsiTheme="majorHAnsi"/>
          <w:sz w:val="20"/>
          <w:szCs w:val="20"/>
        </w:rPr>
        <w:t>9 - pp.2</w:t>
      </w:r>
      <w:r w:rsidRPr="00C71298">
        <w:rPr>
          <w:rFonts w:asciiTheme="majorHAnsi" w:hAnsiTheme="majorHAnsi"/>
          <w:sz w:val="20"/>
          <w:szCs w:val="20"/>
        </w:rPr>
        <w:t>);</w:t>
      </w:r>
    </w:p>
    <w:p w:rsidR="00797414" w:rsidRPr="00C71298" w:rsidRDefault="00797414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 xml:space="preserve">9.Contributi per visite guidate </w:t>
      </w:r>
      <w:proofErr w:type="spellStart"/>
      <w:r w:rsidRPr="00C71298">
        <w:rPr>
          <w:rFonts w:asciiTheme="majorHAnsi" w:hAnsiTheme="majorHAnsi"/>
          <w:sz w:val="20"/>
          <w:szCs w:val="20"/>
        </w:rPr>
        <w:t>a.s.</w:t>
      </w:r>
      <w:proofErr w:type="spellEnd"/>
      <w:r w:rsidRPr="00C71298">
        <w:rPr>
          <w:rFonts w:asciiTheme="majorHAnsi" w:hAnsiTheme="majorHAnsi"/>
          <w:sz w:val="20"/>
          <w:szCs w:val="20"/>
        </w:rPr>
        <w:t xml:space="preserve"> 2016.17 di € 708,00 (ALL. N.</w:t>
      </w:r>
      <w:r w:rsidR="0075485E">
        <w:rPr>
          <w:rFonts w:asciiTheme="majorHAnsi" w:hAnsiTheme="majorHAnsi"/>
          <w:sz w:val="20"/>
          <w:szCs w:val="20"/>
        </w:rPr>
        <w:t>10</w:t>
      </w:r>
      <w:r w:rsidRPr="00C71298">
        <w:rPr>
          <w:rFonts w:asciiTheme="majorHAnsi" w:hAnsiTheme="majorHAnsi"/>
          <w:sz w:val="20"/>
          <w:szCs w:val="20"/>
        </w:rPr>
        <w:t>);</w:t>
      </w:r>
    </w:p>
    <w:p w:rsidR="00797414" w:rsidRPr="00C71298" w:rsidRDefault="00797414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10.Contributo degli alunni  per  attività parascolastiche di € 650,00 (ALL. N.1</w:t>
      </w:r>
      <w:r w:rsidR="0075485E">
        <w:rPr>
          <w:rFonts w:asciiTheme="majorHAnsi" w:hAnsiTheme="majorHAnsi"/>
          <w:sz w:val="20"/>
          <w:szCs w:val="20"/>
        </w:rPr>
        <w:t>1</w:t>
      </w:r>
      <w:r w:rsidRPr="00C71298">
        <w:rPr>
          <w:rFonts w:asciiTheme="majorHAnsi" w:hAnsiTheme="majorHAnsi"/>
          <w:sz w:val="20"/>
          <w:szCs w:val="20"/>
        </w:rPr>
        <w:t>).</w:t>
      </w:r>
    </w:p>
    <w:p w:rsidR="00797414" w:rsidRPr="00C71298" w:rsidRDefault="00797414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71298">
        <w:rPr>
          <w:rFonts w:asciiTheme="majorHAnsi" w:hAnsiTheme="majorHAnsi"/>
          <w:sz w:val="20"/>
          <w:szCs w:val="20"/>
        </w:rPr>
        <w:t>I Componenti del Consiglio ne prendono atto.</w:t>
      </w:r>
    </w:p>
    <w:p w:rsidR="004E68D5" w:rsidRDefault="004E68D5" w:rsidP="00C71298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C71298">
        <w:rPr>
          <w:rFonts w:asciiTheme="majorHAnsi" w:hAnsiTheme="majorHAnsi"/>
          <w:b/>
          <w:sz w:val="20"/>
          <w:szCs w:val="20"/>
        </w:rPr>
        <w:t xml:space="preserve">Punto 4 - Rendiconto manutenzione ordinaria ed indifferibile comunale </w:t>
      </w:r>
      <w:proofErr w:type="spellStart"/>
      <w:r w:rsidRPr="00C71298">
        <w:rPr>
          <w:rFonts w:asciiTheme="majorHAnsi" w:hAnsiTheme="majorHAnsi"/>
          <w:b/>
          <w:sz w:val="20"/>
          <w:szCs w:val="20"/>
        </w:rPr>
        <w:t>a.s.</w:t>
      </w:r>
      <w:proofErr w:type="spellEnd"/>
      <w:r w:rsidRPr="00C71298">
        <w:rPr>
          <w:rFonts w:asciiTheme="majorHAnsi" w:hAnsiTheme="majorHAnsi"/>
          <w:b/>
          <w:sz w:val="20"/>
          <w:szCs w:val="20"/>
        </w:rPr>
        <w:t xml:space="preserve"> 2015/2016</w:t>
      </w:r>
    </w:p>
    <w:p w:rsidR="00C71298" w:rsidRPr="00C71298" w:rsidRDefault="00C71298" w:rsidP="00C71298">
      <w:pPr>
        <w:spacing w:after="0"/>
        <w:ind w:left="60"/>
        <w:contextualSpacing/>
        <w:jc w:val="both"/>
        <w:rPr>
          <w:sz w:val="20"/>
          <w:szCs w:val="20"/>
        </w:rPr>
      </w:pPr>
      <w:r w:rsidRPr="00C71298">
        <w:rPr>
          <w:sz w:val="20"/>
          <w:szCs w:val="20"/>
        </w:rPr>
        <w:t>Prende la parola il DSGA che comunica quanto segue:</w:t>
      </w:r>
    </w:p>
    <w:p w:rsidR="00C71298" w:rsidRPr="00C71298" w:rsidRDefault="00C71298" w:rsidP="00C71298">
      <w:pPr>
        <w:spacing w:after="0"/>
        <w:ind w:left="60"/>
        <w:contextualSpacing/>
        <w:jc w:val="both"/>
        <w:rPr>
          <w:sz w:val="20"/>
          <w:szCs w:val="20"/>
        </w:rPr>
      </w:pPr>
      <w:r w:rsidRPr="00C71298">
        <w:rPr>
          <w:sz w:val="20"/>
          <w:szCs w:val="20"/>
        </w:rPr>
        <w:t>Il Comune di Palermo nel mese di Agosto 2016 ha assegnato a questa istituzione scolastica un contributo di € 11.106,48 per lavori di manutenzione ordinaria urgente ed indifferibile ai locali della scuola  per l’A.S. 2015/2016;</w:t>
      </w:r>
    </w:p>
    <w:p w:rsidR="00C71298" w:rsidRPr="00C71298" w:rsidRDefault="00C71298" w:rsidP="008875E0">
      <w:pPr>
        <w:spacing w:after="0"/>
        <w:ind w:left="60"/>
        <w:contextualSpacing/>
        <w:jc w:val="both"/>
        <w:rPr>
          <w:rFonts w:ascii="Tw Cen MT Condensed" w:hAnsi="Tw Cen MT Condensed"/>
          <w:snapToGrid w:val="0"/>
          <w:sz w:val="20"/>
          <w:szCs w:val="20"/>
          <w:u w:val="single"/>
        </w:rPr>
      </w:pPr>
      <w:r w:rsidRPr="00C71298">
        <w:rPr>
          <w:sz w:val="20"/>
          <w:szCs w:val="20"/>
        </w:rPr>
        <w:t>Si espone qui di seguito le voci analitiche delle spese effettuate:</w:t>
      </w: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227"/>
        <w:gridCol w:w="1303"/>
        <w:gridCol w:w="3024"/>
        <w:gridCol w:w="2835"/>
        <w:gridCol w:w="1134"/>
      </w:tblGrid>
      <w:tr w:rsidR="00C71298" w:rsidRPr="008875E0" w:rsidTr="006B0214">
        <w:trPr>
          <w:trHeight w:val="33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Fattura n.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Del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Natura della spesa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Creditore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Importo</w:t>
            </w:r>
          </w:p>
        </w:tc>
      </w:tr>
      <w:tr w:rsidR="00C71298" w:rsidRPr="008875E0" w:rsidTr="006B0214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61PA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11.10.2016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Sostituzione vetri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Vetreria Cali Palermo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1.133,00</w:t>
            </w:r>
          </w:p>
        </w:tc>
      </w:tr>
      <w:tr w:rsidR="00C71298" w:rsidRPr="008875E0" w:rsidTr="006B0214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61PA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11.10.2016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IVA su sostituzione vetri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 xml:space="preserve"> Erario 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249,26</w:t>
            </w:r>
          </w:p>
        </w:tc>
      </w:tr>
      <w:tr w:rsidR="00C71298" w:rsidRPr="008875E0" w:rsidTr="006B0214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Imp. Spesa</w:t>
            </w:r>
          </w:p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7554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06.10.16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Lavori di tinteggiatura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 xml:space="preserve">Ditta Edilizia &amp; Impianti </w:t>
            </w:r>
            <w:proofErr w:type="spellStart"/>
            <w:r w:rsidRPr="008875E0">
              <w:rPr>
                <w:rFonts w:asciiTheme="majorHAnsi" w:hAnsiTheme="majorHAnsi" w:cs="Arial"/>
                <w:sz w:val="20"/>
                <w:szCs w:val="20"/>
              </w:rPr>
              <w:t>sns</w:t>
            </w:r>
            <w:proofErr w:type="spellEnd"/>
            <w:r w:rsidRPr="008875E0">
              <w:rPr>
                <w:rFonts w:asciiTheme="majorHAnsi" w:hAnsiTheme="majorHAnsi" w:cs="Arial"/>
                <w:sz w:val="20"/>
                <w:szCs w:val="20"/>
              </w:rPr>
              <w:t xml:space="preserve"> PALERMO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2.459,01</w:t>
            </w:r>
          </w:p>
        </w:tc>
      </w:tr>
      <w:tr w:rsidR="00C71298" w:rsidRPr="008875E0" w:rsidTr="006B0214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IVA si lavori di tinteggiatura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Erario 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540,99</w:t>
            </w:r>
          </w:p>
        </w:tc>
      </w:tr>
      <w:tr w:rsidR="00C71298" w:rsidRPr="008875E0" w:rsidTr="006B0214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8875E0">
              <w:rPr>
                <w:rFonts w:asciiTheme="majorHAnsi" w:hAnsiTheme="majorHAnsi" w:cs="Arial"/>
                <w:sz w:val="20"/>
                <w:szCs w:val="20"/>
              </w:rPr>
              <w:t>Imp.Spesa</w:t>
            </w:r>
            <w:proofErr w:type="spellEnd"/>
            <w:r w:rsidRPr="008875E0">
              <w:rPr>
                <w:rFonts w:asciiTheme="majorHAnsi" w:hAnsiTheme="majorHAnsi" w:cs="Arial"/>
                <w:sz w:val="20"/>
                <w:szCs w:val="20"/>
              </w:rPr>
              <w:t xml:space="preserve"> n.7963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17.10..2016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Lavori idraulici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Ditta Meste Palermo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2.295,59</w:t>
            </w:r>
          </w:p>
        </w:tc>
      </w:tr>
      <w:tr w:rsidR="00C71298" w:rsidRPr="008875E0" w:rsidTr="006B0214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“”””””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“”””””””””””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IVA su  fattura Lavori idraulici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Erario 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505,03</w:t>
            </w:r>
          </w:p>
        </w:tc>
      </w:tr>
      <w:tr w:rsidR="00C71298" w:rsidRPr="008875E0" w:rsidTr="006B0214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IMP. Spesa n. 7491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04.10.2016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Pulitura delle cisterne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Ditta Pioggia Edilizia srl Palermo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880,00</w:t>
            </w:r>
          </w:p>
        </w:tc>
      </w:tr>
      <w:tr w:rsidR="00C71298" w:rsidRPr="008875E0" w:rsidTr="006B0214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 xml:space="preserve">   “   “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 xml:space="preserve">  “      “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IVA su fattura lavori elettrici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Erario 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193,60</w:t>
            </w:r>
          </w:p>
        </w:tc>
      </w:tr>
      <w:tr w:rsidR="00C71298" w:rsidRPr="008875E0" w:rsidTr="006B0214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IMP. Spesa</w:t>
            </w:r>
          </w:p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7553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06.10.2016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Sostituzione e riparazione di porte e maniglie e serrande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 xml:space="preserve">F.C. </w:t>
            </w:r>
            <w:proofErr w:type="spellStart"/>
            <w:r w:rsidRPr="008875E0">
              <w:rPr>
                <w:rFonts w:asciiTheme="majorHAnsi" w:hAnsiTheme="majorHAnsi" w:cs="Arial"/>
                <w:sz w:val="20"/>
                <w:szCs w:val="20"/>
              </w:rPr>
              <w:t>Sistem</w:t>
            </w:r>
            <w:proofErr w:type="spellEnd"/>
            <w:r w:rsidRPr="008875E0">
              <w:rPr>
                <w:rFonts w:asciiTheme="majorHAnsi" w:hAnsiTheme="majorHAnsi" w:cs="Arial"/>
                <w:sz w:val="20"/>
                <w:szCs w:val="20"/>
              </w:rPr>
              <w:t xml:space="preserve">  Giardinello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2.336,07</w:t>
            </w:r>
          </w:p>
        </w:tc>
      </w:tr>
      <w:tr w:rsidR="00C71298" w:rsidRPr="008875E0" w:rsidTr="006B0214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“     “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“     “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 xml:space="preserve">IVA su fattura per </w:t>
            </w:r>
            <w:proofErr w:type="spellStart"/>
            <w:r w:rsidRPr="008875E0">
              <w:rPr>
                <w:rFonts w:asciiTheme="majorHAnsi" w:hAnsiTheme="majorHAnsi" w:cs="Arial"/>
                <w:sz w:val="20"/>
                <w:szCs w:val="20"/>
              </w:rPr>
              <w:t>sost.e</w:t>
            </w:r>
            <w:proofErr w:type="spellEnd"/>
            <w:r w:rsidRPr="008875E0">
              <w:rPr>
                <w:rFonts w:asciiTheme="majorHAnsi" w:hAnsiTheme="majorHAnsi" w:cs="Arial"/>
                <w:sz w:val="20"/>
                <w:szCs w:val="20"/>
              </w:rPr>
              <w:t xml:space="preserve"> riparazione maniglie porte e serrande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Erario 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513,93</w:t>
            </w:r>
          </w:p>
        </w:tc>
      </w:tr>
      <w:tr w:rsidR="00C71298" w:rsidRPr="008875E0" w:rsidTr="006B0214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1298" w:rsidRPr="008875E0" w:rsidRDefault="00C71298" w:rsidP="00C7129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sz w:val="20"/>
                <w:szCs w:val="20"/>
              </w:rPr>
              <w:t>Totale Rendiconto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1298" w:rsidRPr="008875E0" w:rsidRDefault="00C71298" w:rsidP="00C71298">
            <w:pPr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sz w:val="20"/>
                <w:szCs w:val="20"/>
              </w:rPr>
              <w:t>11.106,48</w:t>
            </w:r>
          </w:p>
        </w:tc>
      </w:tr>
    </w:tbl>
    <w:p w:rsidR="00C71298" w:rsidRPr="006B0214" w:rsidRDefault="00C71298" w:rsidP="006B0214">
      <w:pPr>
        <w:spacing w:after="0"/>
        <w:contextualSpacing/>
        <w:jc w:val="both"/>
        <w:rPr>
          <w:rFonts w:ascii="Tw Cen MT Condensed" w:hAnsi="Tw Cen MT Condensed"/>
          <w:snapToGrid w:val="0"/>
          <w:sz w:val="20"/>
          <w:szCs w:val="20"/>
          <w:u w:val="single"/>
        </w:rPr>
      </w:pPr>
    </w:p>
    <w:p w:rsidR="006B0214" w:rsidRPr="006B0214" w:rsidRDefault="006B0214" w:rsidP="006B0214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6B0214">
        <w:rPr>
          <w:sz w:val="20"/>
          <w:szCs w:val="20"/>
        </w:rPr>
        <w:t>Il Consiglio d’I</w:t>
      </w:r>
      <w:r w:rsidR="00DC717D">
        <w:rPr>
          <w:sz w:val="20"/>
          <w:szCs w:val="20"/>
        </w:rPr>
        <w:t>s</w:t>
      </w:r>
      <w:r w:rsidRPr="006B0214">
        <w:rPr>
          <w:sz w:val="20"/>
          <w:szCs w:val="20"/>
        </w:rPr>
        <w:t>tituto,</w:t>
      </w:r>
      <w:r w:rsidR="00C71298" w:rsidRPr="006B0214">
        <w:rPr>
          <w:sz w:val="20"/>
          <w:szCs w:val="20"/>
        </w:rPr>
        <w:t xml:space="preserve"> visto il prospetto analitico delle spese sostenute</w:t>
      </w:r>
      <w:r w:rsidRPr="006B0214">
        <w:rPr>
          <w:sz w:val="20"/>
          <w:szCs w:val="20"/>
        </w:rPr>
        <w:t xml:space="preserve"> e tenuto conto di quanto proposto dalla Giunta,approva al’unanimità i</w:t>
      </w:r>
      <w:r w:rsidR="00C71298" w:rsidRPr="006B0214">
        <w:rPr>
          <w:sz w:val="20"/>
          <w:szCs w:val="20"/>
        </w:rPr>
        <w:t xml:space="preserve">l rendiconto del contributo per la manutenzione ordinaria  </w:t>
      </w:r>
      <w:proofErr w:type="spellStart"/>
      <w:r w:rsidR="00C71298" w:rsidRPr="006B0214">
        <w:rPr>
          <w:sz w:val="20"/>
          <w:szCs w:val="20"/>
        </w:rPr>
        <w:t>a.s.</w:t>
      </w:r>
      <w:proofErr w:type="spellEnd"/>
      <w:r w:rsidR="00C71298" w:rsidRPr="006B0214">
        <w:rPr>
          <w:sz w:val="20"/>
          <w:szCs w:val="20"/>
        </w:rPr>
        <w:t xml:space="preserve"> 2015/16</w:t>
      </w:r>
      <w:r w:rsidR="000B099C">
        <w:rPr>
          <w:sz w:val="20"/>
          <w:szCs w:val="20"/>
        </w:rPr>
        <w:t xml:space="preserve"> </w:t>
      </w:r>
      <w:r w:rsidRPr="000B099C">
        <w:rPr>
          <w:rFonts w:asciiTheme="majorHAnsi" w:hAnsiTheme="majorHAnsi"/>
          <w:sz w:val="20"/>
          <w:szCs w:val="20"/>
        </w:rPr>
        <w:t>(</w:t>
      </w:r>
      <w:r w:rsidRPr="000B099C">
        <w:rPr>
          <w:rFonts w:asciiTheme="majorHAnsi" w:hAnsiTheme="majorHAnsi"/>
          <w:sz w:val="20"/>
          <w:szCs w:val="20"/>
          <w:u w:val="single"/>
        </w:rPr>
        <w:t>DELIBERA N.32).</w:t>
      </w:r>
    </w:p>
    <w:p w:rsidR="004E68D5" w:rsidRDefault="004E68D5" w:rsidP="006B0214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6B0214">
        <w:rPr>
          <w:rFonts w:asciiTheme="majorHAnsi" w:hAnsiTheme="majorHAnsi"/>
          <w:b/>
          <w:sz w:val="20"/>
          <w:szCs w:val="20"/>
        </w:rPr>
        <w:t>Punto 5 - Rendiconto oneri comunali a.s.2015/2016</w:t>
      </w:r>
    </w:p>
    <w:p w:rsidR="008875E0" w:rsidRPr="008875E0" w:rsidRDefault="008875E0" w:rsidP="008875E0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8875E0">
        <w:rPr>
          <w:rFonts w:asciiTheme="majorHAnsi" w:hAnsiTheme="majorHAnsi"/>
          <w:sz w:val="20"/>
          <w:szCs w:val="20"/>
        </w:rPr>
        <w:t>Prende la parola il DSGA che comunica quanto segue:</w:t>
      </w:r>
    </w:p>
    <w:p w:rsidR="008875E0" w:rsidRPr="008875E0" w:rsidRDefault="008875E0" w:rsidP="008875E0">
      <w:pPr>
        <w:spacing w:after="0"/>
        <w:ind w:left="60"/>
        <w:contextualSpacing/>
        <w:jc w:val="both"/>
        <w:rPr>
          <w:rFonts w:asciiTheme="majorHAnsi" w:hAnsiTheme="majorHAnsi"/>
          <w:sz w:val="20"/>
          <w:szCs w:val="20"/>
        </w:rPr>
      </w:pPr>
      <w:r w:rsidRPr="008875E0">
        <w:rPr>
          <w:rFonts w:asciiTheme="majorHAnsi" w:hAnsiTheme="majorHAnsi"/>
          <w:sz w:val="20"/>
          <w:szCs w:val="20"/>
        </w:rPr>
        <w:t xml:space="preserve">Il Comune di Palermo nel mese di Agosto 2016 ha assegnato a questa istituzione scolastica un contributo di € 4.514,40 per Oneri comunali per acquisto materiale igienico-sanitario, registri e materiale di facile consumo per alunni etc. </w:t>
      </w:r>
      <w:proofErr w:type="spellStart"/>
      <w:r w:rsidRPr="008875E0">
        <w:rPr>
          <w:rFonts w:asciiTheme="majorHAnsi" w:hAnsiTheme="majorHAnsi"/>
          <w:sz w:val="20"/>
          <w:szCs w:val="20"/>
        </w:rPr>
        <w:t>a.s.</w:t>
      </w:r>
      <w:proofErr w:type="spellEnd"/>
      <w:r w:rsidRPr="008875E0">
        <w:rPr>
          <w:rFonts w:asciiTheme="majorHAnsi" w:hAnsiTheme="majorHAnsi"/>
          <w:sz w:val="20"/>
          <w:szCs w:val="20"/>
        </w:rPr>
        <w:t xml:space="preserve"> 2015.16. </w:t>
      </w:r>
    </w:p>
    <w:p w:rsidR="008875E0" w:rsidRPr="008875E0" w:rsidRDefault="008875E0" w:rsidP="008875E0">
      <w:pPr>
        <w:spacing w:after="0"/>
        <w:ind w:left="60"/>
        <w:contextualSpacing/>
        <w:jc w:val="both"/>
        <w:rPr>
          <w:rFonts w:asciiTheme="majorHAnsi" w:hAnsiTheme="majorHAnsi"/>
          <w:sz w:val="20"/>
          <w:szCs w:val="20"/>
        </w:rPr>
      </w:pPr>
      <w:r w:rsidRPr="008875E0">
        <w:rPr>
          <w:rFonts w:asciiTheme="majorHAnsi" w:hAnsiTheme="majorHAnsi"/>
          <w:sz w:val="20"/>
          <w:szCs w:val="20"/>
        </w:rPr>
        <w:t>Si espone qui di seguito le voci analitiche delle spese effettuate:</w:t>
      </w:r>
    </w:p>
    <w:p w:rsidR="008875E0" w:rsidRPr="008875E0" w:rsidRDefault="008875E0" w:rsidP="008875E0">
      <w:pPr>
        <w:spacing w:after="0"/>
        <w:contextualSpacing/>
        <w:jc w:val="both"/>
        <w:rPr>
          <w:rFonts w:asciiTheme="majorHAnsi" w:hAnsiTheme="majorHAnsi"/>
          <w:snapToGrid w:val="0"/>
          <w:sz w:val="20"/>
          <w:szCs w:val="20"/>
          <w:u w:val="single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018"/>
        <w:gridCol w:w="1276"/>
        <w:gridCol w:w="2835"/>
        <w:gridCol w:w="3118"/>
        <w:gridCol w:w="1134"/>
      </w:tblGrid>
      <w:tr w:rsidR="008875E0" w:rsidRPr="008875E0" w:rsidTr="008875E0">
        <w:trPr>
          <w:trHeight w:val="33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Fattura 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Natura della spesa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Creditore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Importo</w:t>
            </w:r>
          </w:p>
        </w:tc>
      </w:tr>
      <w:tr w:rsidR="008875E0" w:rsidRPr="008875E0" w:rsidTr="008875E0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918/A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26.09.2016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Materiale igienico-sanitario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 xml:space="preserve">Ditta </w:t>
            </w:r>
            <w:proofErr w:type="spellStart"/>
            <w:r w:rsidRPr="008875E0">
              <w:rPr>
                <w:rFonts w:asciiTheme="majorHAnsi" w:hAnsiTheme="majorHAnsi" w:cs="Arial"/>
                <w:sz w:val="20"/>
                <w:szCs w:val="20"/>
              </w:rPr>
              <w:t>Nasta</w:t>
            </w:r>
            <w:proofErr w:type="spellEnd"/>
            <w:r w:rsidRPr="008875E0">
              <w:rPr>
                <w:rFonts w:asciiTheme="majorHAnsi" w:hAnsiTheme="majorHAnsi" w:cs="Arial"/>
                <w:sz w:val="20"/>
                <w:szCs w:val="20"/>
              </w:rPr>
              <w:t>&amp; C. SPA Palermo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2.472,82</w:t>
            </w:r>
          </w:p>
        </w:tc>
      </w:tr>
      <w:tr w:rsidR="008875E0" w:rsidRPr="008875E0" w:rsidTr="008875E0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2/863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23.09.2016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Materiale di cancelleria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Ditta C.E.P. Palermo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sz w:val="20"/>
                <w:szCs w:val="20"/>
              </w:rPr>
              <w:t>2.041,58</w:t>
            </w:r>
          </w:p>
        </w:tc>
      </w:tr>
      <w:tr w:rsidR="008875E0" w:rsidRPr="008875E0" w:rsidTr="008875E0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875E0" w:rsidRPr="008875E0" w:rsidTr="008875E0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875E0" w:rsidRPr="008875E0" w:rsidTr="008875E0">
        <w:trPr>
          <w:trHeight w:val="25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sz w:val="20"/>
                <w:szCs w:val="20"/>
              </w:rPr>
              <w:t>Totale Rendiconto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5E0" w:rsidRPr="008875E0" w:rsidRDefault="008875E0" w:rsidP="008875E0">
            <w:pPr>
              <w:spacing w:after="0"/>
              <w:contextualSpacing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875E0">
              <w:rPr>
                <w:rFonts w:asciiTheme="majorHAnsi" w:hAnsiTheme="majorHAnsi" w:cs="Arial"/>
                <w:b/>
                <w:sz w:val="20"/>
                <w:szCs w:val="20"/>
              </w:rPr>
              <w:t>4.514,40</w:t>
            </w:r>
          </w:p>
        </w:tc>
      </w:tr>
    </w:tbl>
    <w:p w:rsidR="008875E0" w:rsidRPr="008875E0" w:rsidRDefault="008875E0" w:rsidP="008875E0">
      <w:pPr>
        <w:spacing w:after="0"/>
        <w:contextualSpacing/>
        <w:jc w:val="both"/>
        <w:rPr>
          <w:rFonts w:asciiTheme="majorHAnsi" w:hAnsiTheme="majorHAnsi"/>
          <w:snapToGrid w:val="0"/>
          <w:sz w:val="20"/>
          <w:szCs w:val="20"/>
          <w:u w:val="single"/>
        </w:rPr>
      </w:pPr>
    </w:p>
    <w:p w:rsidR="008875E0" w:rsidRDefault="008875E0" w:rsidP="008875E0">
      <w:pPr>
        <w:spacing w:after="0"/>
        <w:ind w:left="60"/>
        <w:contextualSpacing/>
        <w:jc w:val="both"/>
        <w:rPr>
          <w:rFonts w:asciiTheme="majorHAnsi" w:hAnsiTheme="majorHAnsi"/>
          <w:sz w:val="20"/>
          <w:szCs w:val="20"/>
        </w:rPr>
      </w:pPr>
      <w:r w:rsidRPr="008875E0">
        <w:rPr>
          <w:rFonts w:asciiTheme="majorHAnsi" w:hAnsiTheme="majorHAnsi"/>
          <w:sz w:val="20"/>
          <w:szCs w:val="20"/>
        </w:rPr>
        <w:t>Il Consiglio d’I</w:t>
      </w:r>
      <w:r w:rsidR="00DC717D">
        <w:rPr>
          <w:rFonts w:asciiTheme="majorHAnsi" w:hAnsiTheme="majorHAnsi"/>
          <w:sz w:val="20"/>
          <w:szCs w:val="20"/>
        </w:rPr>
        <w:t>s</w:t>
      </w:r>
      <w:r w:rsidRPr="008875E0">
        <w:rPr>
          <w:rFonts w:asciiTheme="majorHAnsi" w:hAnsiTheme="majorHAnsi"/>
          <w:sz w:val="20"/>
          <w:szCs w:val="20"/>
        </w:rPr>
        <w:t xml:space="preserve">tituto, visto il prospetto analitico delle spese sostenute e tenuto conto di quanto proposto dalla Giunta, approva al’unanimità il rendiconto del contributo per oneri comunali  </w:t>
      </w:r>
      <w:proofErr w:type="spellStart"/>
      <w:r w:rsidRPr="008875E0">
        <w:rPr>
          <w:rFonts w:asciiTheme="majorHAnsi" w:hAnsiTheme="majorHAnsi"/>
          <w:sz w:val="20"/>
          <w:szCs w:val="20"/>
        </w:rPr>
        <w:t>a.s.</w:t>
      </w:r>
      <w:proofErr w:type="spellEnd"/>
      <w:r w:rsidRPr="008875E0">
        <w:rPr>
          <w:rFonts w:asciiTheme="majorHAnsi" w:hAnsiTheme="majorHAnsi"/>
          <w:sz w:val="20"/>
          <w:szCs w:val="20"/>
        </w:rPr>
        <w:t xml:space="preserve"> 2015/16 </w:t>
      </w:r>
      <w:r w:rsidRPr="000B099C">
        <w:rPr>
          <w:rFonts w:asciiTheme="majorHAnsi" w:hAnsiTheme="majorHAnsi"/>
          <w:sz w:val="20"/>
          <w:szCs w:val="20"/>
        </w:rPr>
        <w:t>(</w:t>
      </w:r>
      <w:r w:rsidRPr="000B099C">
        <w:rPr>
          <w:rFonts w:asciiTheme="majorHAnsi" w:hAnsiTheme="majorHAnsi"/>
          <w:sz w:val="20"/>
          <w:szCs w:val="20"/>
          <w:u w:val="single"/>
        </w:rPr>
        <w:t>DELIBERA N.33)</w:t>
      </w:r>
      <w:r w:rsidRPr="000B099C">
        <w:rPr>
          <w:rFonts w:asciiTheme="majorHAnsi" w:hAnsiTheme="majorHAnsi"/>
          <w:sz w:val="20"/>
          <w:szCs w:val="20"/>
        </w:rPr>
        <w:t>.</w:t>
      </w:r>
    </w:p>
    <w:p w:rsidR="00D73EB1" w:rsidRPr="008875E0" w:rsidRDefault="00D73EB1" w:rsidP="008875E0">
      <w:pPr>
        <w:spacing w:after="0"/>
        <w:ind w:left="6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La </w:t>
      </w:r>
      <w:proofErr w:type="spellStart"/>
      <w:r>
        <w:rPr>
          <w:rFonts w:asciiTheme="majorHAnsi" w:hAnsiTheme="majorHAnsi"/>
          <w:sz w:val="20"/>
          <w:szCs w:val="20"/>
        </w:rPr>
        <w:t>sign.</w:t>
      </w:r>
      <w:r w:rsidR="00E4704D">
        <w:rPr>
          <w:rFonts w:asciiTheme="majorHAnsi" w:hAnsiTheme="majorHAnsi"/>
          <w:sz w:val="20"/>
          <w:szCs w:val="20"/>
        </w:rPr>
        <w:t>ra</w:t>
      </w:r>
      <w:proofErr w:type="spellEnd"/>
      <w:r>
        <w:rPr>
          <w:rFonts w:asciiTheme="majorHAnsi" w:hAnsiTheme="majorHAnsi"/>
          <w:sz w:val="20"/>
          <w:szCs w:val="20"/>
        </w:rPr>
        <w:t xml:space="preserve"> Cona lascia la seduta alle ore 16.50.</w:t>
      </w:r>
    </w:p>
    <w:p w:rsidR="004E68D5" w:rsidRDefault="004E68D5" w:rsidP="008875E0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8875E0">
        <w:rPr>
          <w:rFonts w:asciiTheme="majorHAnsi" w:hAnsiTheme="majorHAnsi"/>
          <w:b/>
          <w:sz w:val="20"/>
          <w:szCs w:val="20"/>
        </w:rPr>
        <w:t xml:space="preserve">Punto 6 - Criteri di ripartizione dei fondi relativi alla fornitura gratuita dei libri di testo </w:t>
      </w:r>
      <w:proofErr w:type="spellStart"/>
      <w:r w:rsidRPr="008875E0">
        <w:rPr>
          <w:rFonts w:asciiTheme="majorHAnsi" w:hAnsiTheme="majorHAnsi"/>
          <w:b/>
          <w:sz w:val="20"/>
          <w:szCs w:val="20"/>
        </w:rPr>
        <w:t>a.s.</w:t>
      </w:r>
      <w:proofErr w:type="spellEnd"/>
      <w:r w:rsidRPr="008875E0">
        <w:rPr>
          <w:rFonts w:asciiTheme="majorHAnsi" w:hAnsiTheme="majorHAnsi"/>
          <w:b/>
          <w:sz w:val="20"/>
          <w:szCs w:val="20"/>
        </w:rPr>
        <w:t xml:space="preserve"> 2013/2014</w:t>
      </w:r>
    </w:p>
    <w:p w:rsidR="00D73EB1" w:rsidRPr="007D1F33" w:rsidRDefault="00D73EB1" w:rsidP="007D1F33">
      <w:pPr>
        <w:spacing w:after="0"/>
        <w:contextualSpacing/>
        <w:jc w:val="both"/>
        <w:rPr>
          <w:sz w:val="20"/>
          <w:szCs w:val="20"/>
        </w:rPr>
      </w:pPr>
      <w:r w:rsidRPr="007D1F33">
        <w:rPr>
          <w:sz w:val="20"/>
          <w:szCs w:val="20"/>
        </w:rPr>
        <w:t>Prende la parola il DSGA che</w:t>
      </w:r>
      <w:r w:rsidR="007D1F33" w:rsidRPr="007D1F33">
        <w:rPr>
          <w:sz w:val="20"/>
          <w:szCs w:val="20"/>
        </w:rPr>
        <w:t xml:space="preserve"> illustra la proposta del D.S.</w:t>
      </w:r>
      <w:r w:rsidRPr="007D1F33">
        <w:rPr>
          <w:sz w:val="20"/>
          <w:szCs w:val="20"/>
        </w:rPr>
        <w:t xml:space="preserve"> di utilizzare i criteri adottati negli anni precedenti, tranne la modifica delle percentuali di erogazione di seguito elencate:</w:t>
      </w:r>
    </w:p>
    <w:p w:rsidR="00D73EB1" w:rsidRPr="007D1F33" w:rsidRDefault="00D73EB1" w:rsidP="007D1F33">
      <w:pPr>
        <w:numPr>
          <w:ilvl w:val="0"/>
          <w:numId w:val="2"/>
        </w:numPr>
        <w:spacing w:after="0"/>
        <w:contextualSpacing/>
        <w:jc w:val="both"/>
        <w:rPr>
          <w:sz w:val="20"/>
          <w:szCs w:val="20"/>
        </w:rPr>
      </w:pPr>
      <w:r w:rsidRPr="007D1F33">
        <w:rPr>
          <w:sz w:val="20"/>
          <w:szCs w:val="20"/>
        </w:rPr>
        <w:t>Le somme erogate dal Comune di Palermo per i fini di cui sopra saranno ripartiti per il 55% per le classi prime che sostengono le spese maggiori, il restante 45% viene ripartito per il 30% circa alle seconde ed il 15% circa alle classi terze.</w:t>
      </w:r>
    </w:p>
    <w:p w:rsidR="00D73EB1" w:rsidRPr="007D1F33" w:rsidRDefault="00D73EB1" w:rsidP="007D1F33">
      <w:pPr>
        <w:numPr>
          <w:ilvl w:val="0"/>
          <w:numId w:val="2"/>
        </w:numPr>
        <w:spacing w:after="0"/>
        <w:contextualSpacing/>
        <w:jc w:val="both"/>
        <w:rPr>
          <w:sz w:val="20"/>
          <w:szCs w:val="20"/>
        </w:rPr>
      </w:pPr>
      <w:r w:rsidRPr="007D1F33">
        <w:rPr>
          <w:sz w:val="20"/>
          <w:szCs w:val="20"/>
        </w:rPr>
        <w:t>La somma risultante dalla suddetta ripartizione sarà suddivisa per gli alunni beneficiari di ciascuna classe con i seguenti limiti: non potrà essere erogata una somma superiore alla spesa dichiarata da ciascuna famiglia;</w:t>
      </w:r>
    </w:p>
    <w:p w:rsidR="00D73EB1" w:rsidRPr="007D1F33" w:rsidRDefault="00D73EB1" w:rsidP="007D1F33">
      <w:pPr>
        <w:numPr>
          <w:ilvl w:val="0"/>
          <w:numId w:val="2"/>
        </w:numPr>
        <w:spacing w:after="0"/>
        <w:contextualSpacing/>
        <w:jc w:val="both"/>
        <w:rPr>
          <w:sz w:val="20"/>
          <w:szCs w:val="20"/>
        </w:rPr>
      </w:pPr>
      <w:r w:rsidRPr="007D1F33">
        <w:rPr>
          <w:sz w:val="20"/>
          <w:szCs w:val="20"/>
        </w:rPr>
        <w:t>Viene proposto altresì che se dovessero verificarsi economie saranno restituite al Comune di Palermo.</w:t>
      </w:r>
    </w:p>
    <w:p w:rsidR="00D73EB1" w:rsidRPr="007D1F33" w:rsidRDefault="00D73EB1" w:rsidP="007D1F33">
      <w:pPr>
        <w:spacing w:after="0"/>
        <w:ind w:left="60"/>
        <w:contextualSpacing/>
        <w:jc w:val="both"/>
        <w:rPr>
          <w:sz w:val="20"/>
          <w:szCs w:val="20"/>
        </w:rPr>
      </w:pPr>
      <w:r w:rsidRPr="007D1F33">
        <w:rPr>
          <w:sz w:val="20"/>
          <w:szCs w:val="20"/>
        </w:rPr>
        <w:t>Non si provvede a pubblicare l’elenco dei beneficiari all’albo, ai sensi della legge 196 sulla privacy.</w:t>
      </w:r>
    </w:p>
    <w:p w:rsidR="00D73EB1" w:rsidRPr="007D1F33" w:rsidRDefault="00D73EB1" w:rsidP="007D1F33">
      <w:pPr>
        <w:spacing w:after="0"/>
        <w:ind w:left="60"/>
        <w:contextualSpacing/>
        <w:jc w:val="both"/>
        <w:rPr>
          <w:sz w:val="20"/>
          <w:szCs w:val="20"/>
        </w:rPr>
      </w:pPr>
      <w:r w:rsidRPr="007D1F33">
        <w:rPr>
          <w:sz w:val="20"/>
          <w:szCs w:val="20"/>
        </w:rPr>
        <w:t>Qualsiasi genitore può prendere visione di tale elenco presso l’ufficio didattico della scuola.</w:t>
      </w:r>
    </w:p>
    <w:p w:rsidR="00D73EB1" w:rsidRPr="007D1F33" w:rsidRDefault="007D1F33" w:rsidP="007D1F33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7D1F33">
        <w:rPr>
          <w:rFonts w:asciiTheme="majorHAnsi" w:hAnsiTheme="majorHAnsi"/>
          <w:sz w:val="20"/>
          <w:szCs w:val="20"/>
        </w:rPr>
        <w:t>Il Consiglio</w:t>
      </w:r>
      <w:r w:rsidR="00E903D2">
        <w:rPr>
          <w:rFonts w:asciiTheme="majorHAnsi" w:hAnsiTheme="majorHAnsi"/>
          <w:sz w:val="20"/>
          <w:szCs w:val="20"/>
        </w:rPr>
        <w:t>, preso atto della proposta,</w:t>
      </w:r>
      <w:r w:rsidRPr="007D1F33">
        <w:rPr>
          <w:rFonts w:asciiTheme="majorHAnsi" w:hAnsiTheme="majorHAnsi"/>
          <w:sz w:val="20"/>
          <w:szCs w:val="20"/>
        </w:rPr>
        <w:t xml:space="preserve"> approva e delibera all’unanimità </w:t>
      </w:r>
      <w:r w:rsidRPr="000B099C">
        <w:rPr>
          <w:rFonts w:asciiTheme="majorHAnsi" w:hAnsiTheme="majorHAnsi"/>
          <w:sz w:val="20"/>
          <w:szCs w:val="20"/>
        </w:rPr>
        <w:t>(</w:t>
      </w:r>
      <w:r w:rsidRPr="000B099C">
        <w:rPr>
          <w:rFonts w:asciiTheme="majorHAnsi" w:hAnsiTheme="majorHAnsi"/>
          <w:sz w:val="20"/>
          <w:szCs w:val="20"/>
          <w:u w:val="single"/>
        </w:rPr>
        <w:t>DELIBERA N.34)</w:t>
      </w:r>
    </w:p>
    <w:p w:rsidR="004E68D5" w:rsidRDefault="004E68D5" w:rsidP="007D1F33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7D1F33">
        <w:rPr>
          <w:rFonts w:asciiTheme="majorHAnsi" w:hAnsiTheme="majorHAnsi"/>
          <w:b/>
          <w:sz w:val="20"/>
          <w:szCs w:val="20"/>
        </w:rPr>
        <w:t xml:space="preserve">Punto 7 – Chiusura prefestivi </w:t>
      </w:r>
      <w:proofErr w:type="spellStart"/>
      <w:r w:rsidRPr="007D1F33">
        <w:rPr>
          <w:rFonts w:asciiTheme="majorHAnsi" w:hAnsiTheme="majorHAnsi"/>
          <w:b/>
          <w:sz w:val="20"/>
          <w:szCs w:val="20"/>
        </w:rPr>
        <w:t>a.s.</w:t>
      </w:r>
      <w:proofErr w:type="spellEnd"/>
      <w:r w:rsidRPr="007D1F33">
        <w:rPr>
          <w:rFonts w:asciiTheme="majorHAnsi" w:hAnsiTheme="majorHAnsi"/>
          <w:b/>
          <w:sz w:val="20"/>
          <w:szCs w:val="20"/>
        </w:rPr>
        <w:t xml:space="preserve"> 2016/2017</w:t>
      </w:r>
    </w:p>
    <w:p w:rsidR="00F84F44" w:rsidRPr="00563D24" w:rsidRDefault="00F84F44" w:rsidP="00563D24">
      <w:pPr>
        <w:spacing w:after="0"/>
        <w:ind w:left="60"/>
        <w:contextualSpacing/>
        <w:jc w:val="both"/>
        <w:rPr>
          <w:sz w:val="20"/>
          <w:szCs w:val="20"/>
        </w:rPr>
      </w:pPr>
      <w:r w:rsidRPr="00563D24">
        <w:rPr>
          <w:sz w:val="20"/>
          <w:szCs w:val="20"/>
        </w:rPr>
        <w:t>Prende la parola il DSGA che propone, come da richiesta del personale ATA, la chiusura dei sottoelencati prefestivi:</w:t>
      </w:r>
    </w:p>
    <w:p w:rsidR="00F84F44" w:rsidRPr="00563D24" w:rsidRDefault="00F84F44" w:rsidP="00563D24">
      <w:pPr>
        <w:spacing w:after="0"/>
        <w:ind w:left="60"/>
        <w:contextualSpacing/>
        <w:jc w:val="both"/>
        <w:rPr>
          <w:sz w:val="20"/>
          <w:szCs w:val="20"/>
        </w:rPr>
      </w:pPr>
      <w:r w:rsidRPr="00563D24">
        <w:rPr>
          <w:sz w:val="20"/>
          <w:szCs w:val="20"/>
        </w:rPr>
        <w:t>Lunedì 31.10.2016</w:t>
      </w:r>
    </w:p>
    <w:p w:rsidR="00F84F44" w:rsidRPr="00563D24" w:rsidRDefault="00F84F44" w:rsidP="00563D24">
      <w:pPr>
        <w:spacing w:after="0"/>
        <w:ind w:left="60"/>
        <w:contextualSpacing/>
        <w:jc w:val="both"/>
        <w:rPr>
          <w:sz w:val="20"/>
          <w:szCs w:val="20"/>
        </w:rPr>
      </w:pPr>
      <w:r w:rsidRPr="00563D24">
        <w:rPr>
          <w:sz w:val="20"/>
          <w:szCs w:val="20"/>
        </w:rPr>
        <w:t>Giovedì 05.01.17</w:t>
      </w:r>
    </w:p>
    <w:p w:rsidR="00F84F44" w:rsidRPr="00563D24" w:rsidRDefault="00F84F44" w:rsidP="00563D24">
      <w:pPr>
        <w:spacing w:after="0"/>
        <w:ind w:left="60"/>
        <w:contextualSpacing/>
        <w:jc w:val="both"/>
        <w:rPr>
          <w:sz w:val="20"/>
          <w:szCs w:val="20"/>
        </w:rPr>
      </w:pPr>
      <w:r w:rsidRPr="00563D24">
        <w:rPr>
          <w:sz w:val="20"/>
          <w:szCs w:val="20"/>
        </w:rPr>
        <w:t>Lunedì 24.04.17</w:t>
      </w:r>
    </w:p>
    <w:p w:rsidR="00F84F44" w:rsidRPr="00563D24" w:rsidRDefault="00F84F44" w:rsidP="00563D24">
      <w:pPr>
        <w:spacing w:after="0"/>
        <w:ind w:left="60"/>
        <w:contextualSpacing/>
        <w:jc w:val="both"/>
        <w:rPr>
          <w:sz w:val="20"/>
          <w:szCs w:val="20"/>
        </w:rPr>
      </w:pPr>
      <w:r w:rsidRPr="00563D24">
        <w:rPr>
          <w:sz w:val="20"/>
          <w:szCs w:val="20"/>
        </w:rPr>
        <w:t>Sabati 1-8-22-29 luglio 2017</w:t>
      </w:r>
    </w:p>
    <w:p w:rsidR="00F84F44" w:rsidRPr="00563D24" w:rsidRDefault="00F84F44" w:rsidP="00563D24">
      <w:pPr>
        <w:spacing w:after="0"/>
        <w:ind w:left="60"/>
        <w:contextualSpacing/>
        <w:jc w:val="both"/>
        <w:rPr>
          <w:sz w:val="20"/>
          <w:szCs w:val="20"/>
        </w:rPr>
      </w:pPr>
      <w:r w:rsidRPr="00563D24">
        <w:rPr>
          <w:sz w:val="20"/>
          <w:szCs w:val="20"/>
        </w:rPr>
        <w:t>Sabati 5-12-19 e 26 agosto 2017</w:t>
      </w:r>
    </w:p>
    <w:p w:rsidR="00F84F44" w:rsidRPr="00563D24" w:rsidRDefault="00F84F44" w:rsidP="00563D24">
      <w:pPr>
        <w:spacing w:after="0"/>
        <w:ind w:left="60"/>
        <w:contextualSpacing/>
        <w:jc w:val="both"/>
        <w:rPr>
          <w:sz w:val="20"/>
          <w:szCs w:val="20"/>
        </w:rPr>
      </w:pPr>
      <w:r w:rsidRPr="00563D24">
        <w:rPr>
          <w:sz w:val="20"/>
          <w:szCs w:val="20"/>
        </w:rPr>
        <w:t>Venerdì 14.07.2017 e da lunedì 14 agosto a mercoledì 16 agosto 2017.</w:t>
      </w:r>
    </w:p>
    <w:p w:rsidR="00F84F44" w:rsidRPr="00563D24" w:rsidRDefault="00F84F44" w:rsidP="00563D24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563D24">
        <w:rPr>
          <w:rFonts w:asciiTheme="majorHAnsi" w:hAnsiTheme="majorHAnsi"/>
          <w:sz w:val="20"/>
          <w:szCs w:val="20"/>
        </w:rPr>
        <w:t xml:space="preserve">Il Consiglio, tenuto conto della proposta della Giunta, approva e delibera all’unanimità </w:t>
      </w:r>
      <w:r w:rsidRPr="000B099C">
        <w:rPr>
          <w:rFonts w:asciiTheme="majorHAnsi" w:hAnsiTheme="majorHAnsi"/>
          <w:sz w:val="20"/>
          <w:szCs w:val="20"/>
        </w:rPr>
        <w:t>(</w:t>
      </w:r>
      <w:r w:rsidRPr="000B099C">
        <w:rPr>
          <w:rFonts w:asciiTheme="majorHAnsi" w:hAnsiTheme="majorHAnsi"/>
          <w:sz w:val="20"/>
          <w:szCs w:val="20"/>
          <w:u w:val="single"/>
        </w:rPr>
        <w:t>DELIBERA N.35)</w:t>
      </w:r>
    </w:p>
    <w:p w:rsidR="004E68D5" w:rsidRPr="00E903D2" w:rsidRDefault="004E68D5" w:rsidP="00E903D2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E903D2">
        <w:rPr>
          <w:rFonts w:asciiTheme="majorHAnsi" w:hAnsiTheme="majorHAnsi"/>
          <w:b/>
          <w:sz w:val="20"/>
          <w:szCs w:val="20"/>
        </w:rPr>
        <w:t xml:space="preserve">Punto 8 – Conferma orario di servizio personale A.T.A. </w:t>
      </w:r>
      <w:proofErr w:type="spellStart"/>
      <w:r w:rsidRPr="00E903D2">
        <w:rPr>
          <w:rFonts w:asciiTheme="majorHAnsi" w:hAnsiTheme="majorHAnsi"/>
          <w:b/>
          <w:sz w:val="20"/>
          <w:szCs w:val="20"/>
        </w:rPr>
        <w:t>a.s.</w:t>
      </w:r>
      <w:proofErr w:type="spellEnd"/>
      <w:r w:rsidRPr="00E903D2">
        <w:rPr>
          <w:rFonts w:asciiTheme="majorHAnsi" w:hAnsiTheme="majorHAnsi"/>
          <w:b/>
          <w:sz w:val="20"/>
          <w:szCs w:val="20"/>
        </w:rPr>
        <w:t xml:space="preserve"> 2016/2017</w:t>
      </w:r>
    </w:p>
    <w:p w:rsidR="000060C5" w:rsidRPr="00E903D2" w:rsidRDefault="000060C5" w:rsidP="00E903D2">
      <w:pPr>
        <w:spacing w:after="0"/>
        <w:ind w:left="60"/>
        <w:contextualSpacing/>
        <w:jc w:val="both"/>
        <w:rPr>
          <w:sz w:val="20"/>
          <w:szCs w:val="20"/>
        </w:rPr>
      </w:pPr>
      <w:r w:rsidRPr="00E903D2">
        <w:rPr>
          <w:sz w:val="20"/>
          <w:szCs w:val="20"/>
        </w:rPr>
        <w:t>Prende la p</w:t>
      </w:r>
      <w:r w:rsidR="00E903D2" w:rsidRPr="00E903D2">
        <w:rPr>
          <w:sz w:val="20"/>
          <w:szCs w:val="20"/>
        </w:rPr>
        <w:t>arola il DSGA che propone anche</w:t>
      </w:r>
      <w:r w:rsidRPr="00E903D2">
        <w:rPr>
          <w:sz w:val="20"/>
          <w:szCs w:val="20"/>
        </w:rPr>
        <w:t xml:space="preserve"> per quest’anno l’orario del personale ATA considerato che è andato bene negli anni trascorsi:</w:t>
      </w:r>
    </w:p>
    <w:p w:rsidR="000060C5" w:rsidRPr="00E903D2" w:rsidRDefault="00E903D2" w:rsidP="00E903D2">
      <w:pPr>
        <w:spacing w:after="0"/>
        <w:ind w:left="60"/>
        <w:contextualSpacing/>
        <w:jc w:val="both"/>
        <w:rPr>
          <w:sz w:val="20"/>
          <w:szCs w:val="20"/>
        </w:rPr>
      </w:pPr>
      <w:r w:rsidRPr="00E903D2">
        <w:rPr>
          <w:sz w:val="20"/>
          <w:szCs w:val="20"/>
        </w:rPr>
        <w:t>Per i collaboratori scolastici</w:t>
      </w:r>
      <w:r w:rsidR="000060C5" w:rsidRPr="00E903D2">
        <w:rPr>
          <w:sz w:val="20"/>
          <w:szCs w:val="20"/>
        </w:rPr>
        <w:t xml:space="preserve"> cinque giorni settimanali con orario giornaliero 7,30/14,30 e recupero di 4 ore  alla fine  del mese per effettuate la pulizia dei locali;</w:t>
      </w:r>
    </w:p>
    <w:p w:rsidR="000060C5" w:rsidRPr="00E903D2" w:rsidRDefault="000060C5" w:rsidP="00E903D2">
      <w:pPr>
        <w:spacing w:after="0"/>
        <w:ind w:left="60"/>
        <w:contextualSpacing/>
        <w:jc w:val="both"/>
        <w:rPr>
          <w:sz w:val="20"/>
          <w:szCs w:val="20"/>
        </w:rPr>
      </w:pPr>
      <w:r w:rsidRPr="00E903D2">
        <w:rPr>
          <w:sz w:val="20"/>
          <w:szCs w:val="20"/>
        </w:rPr>
        <w:t>Per gli assistenti amministrativi sempre cinque giorni settimanali con orario giornaliero 7,30/14,15 e rientro un giorno alla settimana con orario 7,30/13,30 e 14,00/17,00.</w:t>
      </w:r>
    </w:p>
    <w:p w:rsidR="000060C5" w:rsidRPr="00E903D2" w:rsidRDefault="000060C5" w:rsidP="00E903D2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E903D2">
        <w:rPr>
          <w:rFonts w:asciiTheme="majorHAnsi" w:hAnsiTheme="majorHAnsi"/>
          <w:sz w:val="20"/>
          <w:szCs w:val="20"/>
        </w:rPr>
        <w:t xml:space="preserve">Il Consiglio, tenuto conto della proposta della Giunta, approva e delibera all’unanimità </w:t>
      </w:r>
      <w:r w:rsidRPr="000B099C">
        <w:rPr>
          <w:rFonts w:asciiTheme="majorHAnsi" w:hAnsiTheme="majorHAnsi"/>
          <w:sz w:val="20"/>
          <w:szCs w:val="20"/>
        </w:rPr>
        <w:t>(</w:t>
      </w:r>
      <w:r w:rsidRPr="000B099C">
        <w:rPr>
          <w:rFonts w:asciiTheme="majorHAnsi" w:hAnsiTheme="majorHAnsi"/>
          <w:sz w:val="20"/>
          <w:szCs w:val="20"/>
          <w:u w:val="single"/>
        </w:rPr>
        <w:t>DELIBERA N.36)</w:t>
      </w:r>
    </w:p>
    <w:p w:rsidR="000060C5" w:rsidRPr="00E903D2" w:rsidRDefault="000060C5" w:rsidP="00E903D2">
      <w:pPr>
        <w:spacing w:after="0"/>
        <w:ind w:left="60"/>
        <w:contextualSpacing/>
        <w:jc w:val="both"/>
        <w:rPr>
          <w:sz w:val="20"/>
          <w:szCs w:val="20"/>
        </w:rPr>
      </w:pPr>
    </w:p>
    <w:p w:rsidR="000060C5" w:rsidRPr="00E903D2" w:rsidRDefault="000060C5" w:rsidP="00E903D2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4E68D5" w:rsidRDefault="004E68D5" w:rsidP="00E903D2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E903D2">
        <w:rPr>
          <w:rFonts w:asciiTheme="majorHAnsi" w:hAnsiTheme="majorHAnsi"/>
          <w:b/>
          <w:sz w:val="20"/>
          <w:szCs w:val="20"/>
        </w:rPr>
        <w:t xml:space="preserve">Punto 9 – </w:t>
      </w:r>
      <w:r w:rsidR="00035FC5">
        <w:rPr>
          <w:rFonts w:asciiTheme="majorHAnsi" w:hAnsiTheme="majorHAnsi"/>
          <w:b/>
          <w:sz w:val="20"/>
          <w:szCs w:val="20"/>
        </w:rPr>
        <w:t>Adesione</w:t>
      </w:r>
      <w:r w:rsidRPr="00E903D2">
        <w:rPr>
          <w:rFonts w:asciiTheme="majorHAnsi" w:hAnsiTheme="majorHAnsi"/>
          <w:b/>
          <w:sz w:val="20"/>
          <w:szCs w:val="20"/>
        </w:rPr>
        <w:t xml:space="preserve"> PON inclusione – FSE – PON “Per la scuola, competenze e </w:t>
      </w:r>
      <w:r w:rsidR="000408C9" w:rsidRPr="00035FC5">
        <w:rPr>
          <w:rFonts w:asciiTheme="majorHAnsi" w:hAnsiTheme="majorHAnsi"/>
          <w:b/>
          <w:sz w:val="20"/>
          <w:szCs w:val="20"/>
        </w:rPr>
        <w:t>ambienti</w:t>
      </w:r>
      <w:r w:rsidRPr="00E903D2">
        <w:rPr>
          <w:rFonts w:asciiTheme="majorHAnsi" w:hAnsiTheme="majorHAnsi"/>
          <w:b/>
          <w:sz w:val="20"/>
          <w:szCs w:val="20"/>
        </w:rPr>
        <w:t xml:space="preserve"> per l’apprendimento” 2014-2020. Avviso pubblico </w:t>
      </w:r>
      <w:proofErr w:type="spellStart"/>
      <w:r w:rsidR="00035FC5">
        <w:rPr>
          <w:rFonts w:asciiTheme="majorHAnsi" w:hAnsiTheme="majorHAnsi"/>
          <w:b/>
          <w:sz w:val="20"/>
          <w:szCs w:val="20"/>
        </w:rPr>
        <w:t>prot</w:t>
      </w:r>
      <w:proofErr w:type="spellEnd"/>
      <w:r w:rsidR="00035FC5">
        <w:rPr>
          <w:rFonts w:asciiTheme="majorHAnsi" w:hAnsiTheme="majorHAnsi"/>
          <w:b/>
          <w:sz w:val="20"/>
          <w:szCs w:val="20"/>
        </w:rPr>
        <w:t xml:space="preserve">. 10862 del 16 settembre 2016 </w:t>
      </w:r>
      <w:r w:rsidRPr="00E903D2">
        <w:rPr>
          <w:rFonts w:asciiTheme="majorHAnsi" w:hAnsiTheme="majorHAnsi"/>
          <w:b/>
          <w:sz w:val="20"/>
          <w:szCs w:val="20"/>
        </w:rPr>
        <w:t>“Progetti di inclusione sociale e lotta al disagio nonché per garantire l’apertura delle</w:t>
      </w:r>
      <w:r w:rsidRPr="00C71298">
        <w:rPr>
          <w:rFonts w:asciiTheme="majorHAnsi" w:hAnsiTheme="majorHAnsi"/>
          <w:b/>
          <w:sz w:val="20"/>
          <w:szCs w:val="20"/>
        </w:rPr>
        <w:t xml:space="preserve"> scuole oltre l’orario scolastico soprattutto nelle aree a rischio e in quelle periferiche”. Asse I – Istruzione – Fondo Sociale Europeo (FSE).</w:t>
      </w:r>
    </w:p>
    <w:p w:rsidR="000408C9" w:rsidRPr="000408C9" w:rsidRDefault="000408C9" w:rsidP="00E903D2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0408C9">
        <w:rPr>
          <w:rFonts w:asciiTheme="majorHAnsi" w:hAnsiTheme="majorHAnsi"/>
          <w:sz w:val="20"/>
          <w:szCs w:val="20"/>
        </w:rPr>
        <w:t xml:space="preserve">Prende </w:t>
      </w:r>
      <w:r>
        <w:rPr>
          <w:rFonts w:asciiTheme="majorHAnsi" w:hAnsiTheme="majorHAnsi"/>
          <w:sz w:val="20"/>
          <w:szCs w:val="20"/>
        </w:rPr>
        <w:t xml:space="preserve">la parola la prof.ssa Ferraro che illustra ai componenti del Consiglio d’Istituto </w:t>
      </w:r>
      <w:r w:rsidR="00E62F39">
        <w:rPr>
          <w:rFonts w:asciiTheme="majorHAnsi" w:hAnsiTheme="majorHAnsi"/>
          <w:sz w:val="20"/>
          <w:szCs w:val="20"/>
        </w:rPr>
        <w:t>sia quanto previsto dall’</w:t>
      </w:r>
      <w:r w:rsidR="00E62F39" w:rsidRPr="00E62F39">
        <w:rPr>
          <w:rFonts w:asciiTheme="majorHAnsi" w:hAnsiTheme="majorHAnsi"/>
          <w:sz w:val="20"/>
          <w:szCs w:val="20"/>
        </w:rPr>
        <w:t>Avviso pubblico “Progetti di inclusione sociale e lotta al disagio nonché per garantire l’apertura delle scuole oltre l’orario scolastico soprattutto nelle aree a rischio e in quelle periferiche”. Asse I – Istruzione – Fondo Sociale Europeo (FSE)</w:t>
      </w:r>
      <w:r w:rsidR="00E62F39">
        <w:rPr>
          <w:rFonts w:asciiTheme="majorHAnsi" w:hAnsiTheme="majorHAnsi"/>
          <w:sz w:val="20"/>
          <w:szCs w:val="20"/>
        </w:rPr>
        <w:t xml:space="preserve">, sia </w:t>
      </w:r>
      <w:r>
        <w:rPr>
          <w:rFonts w:asciiTheme="majorHAnsi" w:hAnsiTheme="majorHAnsi"/>
          <w:sz w:val="20"/>
          <w:szCs w:val="20"/>
        </w:rPr>
        <w:t xml:space="preserve">l’articolazione </w:t>
      </w:r>
      <w:r w:rsidR="00E62F39">
        <w:rPr>
          <w:rFonts w:asciiTheme="majorHAnsi" w:hAnsiTheme="majorHAnsi"/>
          <w:sz w:val="20"/>
          <w:szCs w:val="20"/>
        </w:rPr>
        <w:t xml:space="preserve">e la valenza formativa </w:t>
      </w:r>
      <w:r>
        <w:rPr>
          <w:rFonts w:asciiTheme="majorHAnsi" w:hAnsiTheme="majorHAnsi"/>
          <w:sz w:val="20"/>
          <w:szCs w:val="20"/>
        </w:rPr>
        <w:t xml:space="preserve">della proposta progettuale con la quale l’ICS </w:t>
      </w:r>
      <w:r w:rsidR="00E62F39">
        <w:rPr>
          <w:rFonts w:asciiTheme="majorHAnsi" w:hAnsiTheme="majorHAnsi"/>
          <w:sz w:val="20"/>
          <w:szCs w:val="20"/>
        </w:rPr>
        <w:t>“Maredolce” intende candidarsi al fine ottenere il finanziamento previsto.</w:t>
      </w:r>
      <w:r w:rsidR="00B77FE5" w:rsidRPr="007D1F33">
        <w:rPr>
          <w:rFonts w:asciiTheme="majorHAnsi" w:hAnsiTheme="majorHAnsi"/>
          <w:sz w:val="20"/>
          <w:szCs w:val="20"/>
        </w:rPr>
        <w:t>Il Consiglio</w:t>
      </w:r>
      <w:r w:rsidR="00B77FE5">
        <w:rPr>
          <w:rFonts w:asciiTheme="majorHAnsi" w:hAnsiTheme="majorHAnsi"/>
          <w:sz w:val="20"/>
          <w:szCs w:val="20"/>
        </w:rPr>
        <w:t>, preso atto di quanto esposto,</w:t>
      </w:r>
      <w:r w:rsidR="00B77FE5" w:rsidRPr="007D1F33">
        <w:rPr>
          <w:rFonts w:asciiTheme="majorHAnsi" w:hAnsiTheme="majorHAnsi"/>
          <w:sz w:val="20"/>
          <w:szCs w:val="20"/>
        </w:rPr>
        <w:t xml:space="preserve"> approva e delibera all’unanimità </w:t>
      </w:r>
      <w:r w:rsidR="00B77FE5" w:rsidRPr="000B099C">
        <w:rPr>
          <w:rFonts w:asciiTheme="majorHAnsi" w:hAnsiTheme="majorHAnsi"/>
          <w:sz w:val="20"/>
          <w:szCs w:val="20"/>
        </w:rPr>
        <w:t>(</w:t>
      </w:r>
      <w:r w:rsidR="00B77FE5" w:rsidRPr="000B099C">
        <w:rPr>
          <w:rFonts w:asciiTheme="majorHAnsi" w:hAnsiTheme="majorHAnsi"/>
          <w:sz w:val="20"/>
          <w:szCs w:val="20"/>
          <w:u w:val="single"/>
        </w:rPr>
        <w:t>DELIBERA N.37)</w:t>
      </w:r>
    </w:p>
    <w:p w:rsidR="004E68D5" w:rsidRDefault="004E68D5" w:rsidP="00C71298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C71298">
        <w:rPr>
          <w:rFonts w:asciiTheme="majorHAnsi" w:hAnsiTheme="majorHAnsi"/>
          <w:b/>
          <w:sz w:val="20"/>
          <w:szCs w:val="20"/>
        </w:rPr>
        <w:t xml:space="preserve">Punto 10 – </w:t>
      </w:r>
      <w:r w:rsidR="00C90582">
        <w:rPr>
          <w:rFonts w:asciiTheme="majorHAnsi" w:hAnsiTheme="majorHAnsi"/>
          <w:b/>
          <w:sz w:val="20"/>
          <w:szCs w:val="20"/>
        </w:rPr>
        <w:t>Approvazione</w:t>
      </w:r>
      <w:r w:rsidRPr="00C71298">
        <w:rPr>
          <w:rFonts w:asciiTheme="majorHAnsi" w:hAnsiTheme="majorHAnsi"/>
          <w:b/>
          <w:sz w:val="20"/>
          <w:szCs w:val="20"/>
        </w:rPr>
        <w:t xml:space="preserve"> modifiche PTOF</w:t>
      </w:r>
    </w:p>
    <w:p w:rsidR="002E5644" w:rsidRDefault="002E5644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2E5644">
        <w:rPr>
          <w:rFonts w:asciiTheme="majorHAnsi" w:hAnsiTheme="majorHAnsi"/>
          <w:sz w:val="20"/>
          <w:szCs w:val="20"/>
        </w:rPr>
        <w:t>Prende</w:t>
      </w:r>
      <w:r>
        <w:rPr>
          <w:rFonts w:asciiTheme="majorHAnsi" w:hAnsiTheme="majorHAnsi"/>
          <w:sz w:val="20"/>
          <w:szCs w:val="20"/>
        </w:rPr>
        <w:t xml:space="preserve"> la parola la prof.ssa Ferraro</w:t>
      </w:r>
      <w:r w:rsidR="00EF242F">
        <w:rPr>
          <w:rFonts w:asciiTheme="majorHAnsi" w:hAnsiTheme="majorHAnsi"/>
          <w:sz w:val="20"/>
          <w:szCs w:val="20"/>
        </w:rPr>
        <w:t xml:space="preserve"> che illustra ai componenti del Consiglio d’Istituto le modific</w:t>
      </w:r>
      <w:r w:rsidR="00C90582">
        <w:rPr>
          <w:rFonts w:asciiTheme="majorHAnsi" w:hAnsiTheme="majorHAnsi"/>
          <w:sz w:val="20"/>
          <w:szCs w:val="20"/>
        </w:rPr>
        <w:t>he apportate al PTOF relative a progetti curriculari ed extracurriculari, la nuova composizione dei Dipartimenti disciplinari, integrazioni di Aree trasversali e Unità Organizzative.</w:t>
      </w:r>
    </w:p>
    <w:p w:rsidR="00C433DC" w:rsidRDefault="00C433DC" w:rsidP="00C433DC">
      <w:pPr>
        <w:spacing w:after="0"/>
        <w:contextualSpacing/>
        <w:jc w:val="both"/>
        <w:rPr>
          <w:rFonts w:asciiTheme="majorHAnsi" w:hAnsiTheme="majorHAnsi"/>
          <w:sz w:val="20"/>
          <w:szCs w:val="20"/>
          <w:u w:val="single"/>
        </w:rPr>
      </w:pPr>
      <w:r w:rsidRPr="007D1F33">
        <w:rPr>
          <w:rFonts w:asciiTheme="majorHAnsi" w:hAnsiTheme="majorHAnsi"/>
          <w:sz w:val="20"/>
          <w:szCs w:val="20"/>
        </w:rPr>
        <w:t>Il Consiglio</w:t>
      </w:r>
      <w:r>
        <w:rPr>
          <w:rFonts w:asciiTheme="majorHAnsi" w:hAnsiTheme="majorHAnsi"/>
          <w:sz w:val="20"/>
          <w:szCs w:val="20"/>
        </w:rPr>
        <w:t>, preso atto di quanto esposto,</w:t>
      </w:r>
      <w:r w:rsidRPr="007D1F33">
        <w:rPr>
          <w:rFonts w:asciiTheme="majorHAnsi" w:hAnsiTheme="majorHAnsi"/>
          <w:sz w:val="20"/>
          <w:szCs w:val="20"/>
        </w:rPr>
        <w:t xml:space="preserve"> approva e delibera all’unanimità (</w:t>
      </w:r>
      <w:r w:rsidRPr="000B099C">
        <w:rPr>
          <w:rFonts w:asciiTheme="majorHAnsi" w:hAnsiTheme="majorHAnsi"/>
          <w:sz w:val="20"/>
          <w:szCs w:val="20"/>
          <w:u w:val="single"/>
        </w:rPr>
        <w:t>DELIBERA N.38)</w:t>
      </w:r>
    </w:p>
    <w:p w:rsidR="00E4704D" w:rsidRPr="008875E0" w:rsidRDefault="00E4704D" w:rsidP="00E4704D">
      <w:pPr>
        <w:spacing w:after="0"/>
        <w:ind w:left="6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La </w:t>
      </w:r>
      <w:proofErr w:type="spellStart"/>
      <w:r>
        <w:rPr>
          <w:rFonts w:asciiTheme="majorHAnsi" w:hAnsiTheme="majorHAnsi"/>
          <w:sz w:val="20"/>
          <w:szCs w:val="20"/>
        </w:rPr>
        <w:t>sign.ra</w:t>
      </w:r>
      <w:proofErr w:type="spellEnd"/>
      <w:r w:rsidR="0028078D"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Gallozzi</w:t>
      </w:r>
      <w:proofErr w:type="spellEnd"/>
      <w:r>
        <w:rPr>
          <w:rFonts w:asciiTheme="majorHAnsi" w:hAnsiTheme="majorHAnsi"/>
          <w:sz w:val="20"/>
          <w:szCs w:val="20"/>
        </w:rPr>
        <w:t xml:space="preserve"> lascia la seduta alle ore 17.10.</w:t>
      </w:r>
    </w:p>
    <w:p w:rsidR="00E4704D" w:rsidRPr="008875E0" w:rsidRDefault="00E4704D" w:rsidP="00E4704D">
      <w:pPr>
        <w:spacing w:after="0"/>
        <w:ind w:left="6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La </w:t>
      </w:r>
      <w:proofErr w:type="spellStart"/>
      <w:r>
        <w:rPr>
          <w:rFonts w:asciiTheme="majorHAnsi" w:hAnsiTheme="majorHAnsi"/>
          <w:sz w:val="20"/>
          <w:szCs w:val="20"/>
        </w:rPr>
        <w:t>sign.ra</w:t>
      </w:r>
      <w:proofErr w:type="spellEnd"/>
      <w:r w:rsidR="0028078D"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Vitellaro</w:t>
      </w:r>
      <w:proofErr w:type="spellEnd"/>
      <w:r>
        <w:rPr>
          <w:rFonts w:asciiTheme="majorHAnsi" w:hAnsiTheme="majorHAnsi"/>
          <w:sz w:val="20"/>
          <w:szCs w:val="20"/>
        </w:rPr>
        <w:t xml:space="preserve"> lascia la seduta alle ore 17.20.</w:t>
      </w:r>
    </w:p>
    <w:p w:rsidR="004E68D5" w:rsidRDefault="004E68D5" w:rsidP="00C433DC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C433DC">
        <w:rPr>
          <w:rFonts w:asciiTheme="majorHAnsi" w:hAnsiTheme="majorHAnsi"/>
          <w:b/>
          <w:sz w:val="20"/>
          <w:szCs w:val="20"/>
        </w:rPr>
        <w:t>Punto 11 – Regolamento ERASMUS PLUS</w:t>
      </w:r>
    </w:p>
    <w:p w:rsidR="00C433DC" w:rsidRPr="00C433DC" w:rsidRDefault="00C433DC" w:rsidP="00C433DC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C433DC">
        <w:rPr>
          <w:rFonts w:asciiTheme="majorHAnsi" w:hAnsiTheme="majorHAnsi"/>
          <w:sz w:val="20"/>
          <w:szCs w:val="20"/>
        </w:rPr>
        <w:t>P</w:t>
      </w:r>
      <w:r>
        <w:rPr>
          <w:rFonts w:asciiTheme="majorHAnsi" w:hAnsiTheme="majorHAnsi"/>
          <w:sz w:val="20"/>
          <w:szCs w:val="20"/>
        </w:rPr>
        <w:t>rende la parola la prof.ssa Mari</w:t>
      </w:r>
      <w:r w:rsidR="00C90582">
        <w:rPr>
          <w:rFonts w:asciiTheme="majorHAnsi" w:hAnsiTheme="majorHAnsi"/>
          <w:sz w:val="20"/>
          <w:szCs w:val="20"/>
        </w:rPr>
        <w:t xml:space="preserve"> (invitata sul momento), che</w:t>
      </w:r>
      <w:r w:rsidR="000B099C">
        <w:rPr>
          <w:rFonts w:asciiTheme="majorHAnsi" w:hAnsiTheme="majorHAnsi"/>
          <w:sz w:val="20"/>
          <w:szCs w:val="20"/>
        </w:rPr>
        <w:t xml:space="preserve"> comunica</w:t>
      </w:r>
      <w:r w:rsidR="0054767D">
        <w:rPr>
          <w:rFonts w:asciiTheme="majorHAnsi" w:hAnsiTheme="majorHAnsi"/>
          <w:sz w:val="20"/>
          <w:szCs w:val="20"/>
        </w:rPr>
        <w:t xml:space="preserve"> che in relazione alle azioni connesse al P</w:t>
      </w:r>
      <w:r w:rsidR="007E2488">
        <w:rPr>
          <w:rFonts w:asciiTheme="majorHAnsi" w:hAnsiTheme="majorHAnsi"/>
          <w:sz w:val="20"/>
          <w:szCs w:val="20"/>
        </w:rPr>
        <w:t>rogetto Erasmus Plus ci si atterrà al Regolamento ufficiale, predisposto dalla Commissione europea.</w:t>
      </w:r>
      <w:r w:rsidR="000B099C">
        <w:rPr>
          <w:rFonts w:asciiTheme="majorHAnsi" w:hAnsiTheme="majorHAnsi"/>
          <w:sz w:val="20"/>
          <w:szCs w:val="20"/>
        </w:rPr>
        <w:t xml:space="preserve"> </w:t>
      </w:r>
      <w:r w:rsidR="00017219" w:rsidRPr="000B099C">
        <w:rPr>
          <w:rFonts w:asciiTheme="majorHAnsi" w:hAnsiTheme="majorHAnsi"/>
          <w:sz w:val="20"/>
          <w:szCs w:val="20"/>
        </w:rPr>
        <w:t>I componenti del consiglio ne prendono atto.</w:t>
      </w:r>
    </w:p>
    <w:p w:rsidR="004E68D5" w:rsidRDefault="004E68D5" w:rsidP="00C433DC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C433DC">
        <w:rPr>
          <w:rFonts w:asciiTheme="majorHAnsi" w:hAnsiTheme="majorHAnsi"/>
          <w:b/>
          <w:sz w:val="20"/>
          <w:szCs w:val="20"/>
        </w:rPr>
        <w:t>Punto 12 – Interventi in favore delle scuole e delle facoltà universitarie siciliane per lo svolgimento di attività per la formazione civile degli alunni – art.14 della legge regionale 13/09/1999 n.20. Es. Fin. 2016 – cap. 373713</w:t>
      </w:r>
    </w:p>
    <w:p w:rsidR="000B099C" w:rsidRDefault="009766FF" w:rsidP="000B099C">
      <w:pPr>
        <w:spacing w:after="0"/>
        <w:contextualSpacing/>
        <w:jc w:val="both"/>
        <w:rPr>
          <w:rFonts w:asciiTheme="majorHAnsi" w:hAnsiTheme="majorHAnsi"/>
          <w:sz w:val="20"/>
          <w:szCs w:val="20"/>
          <w:u w:val="single"/>
        </w:rPr>
      </w:pPr>
      <w:r w:rsidRPr="000B099C">
        <w:rPr>
          <w:rFonts w:asciiTheme="majorHAnsi" w:hAnsiTheme="majorHAnsi"/>
          <w:sz w:val="20"/>
          <w:szCs w:val="20"/>
        </w:rPr>
        <w:t xml:space="preserve">La prof.ssa Ferraro illustra un progetto legalità a valere su fondi regionali di cui al punto. Il </w:t>
      </w:r>
      <w:proofErr w:type="spellStart"/>
      <w:r w:rsidRPr="000B099C">
        <w:rPr>
          <w:rFonts w:asciiTheme="majorHAnsi" w:hAnsiTheme="majorHAnsi"/>
          <w:sz w:val="20"/>
          <w:szCs w:val="20"/>
        </w:rPr>
        <w:t>CdI</w:t>
      </w:r>
      <w:proofErr w:type="spellEnd"/>
      <w:r w:rsidRPr="000B099C">
        <w:rPr>
          <w:rFonts w:asciiTheme="majorHAnsi" w:hAnsiTheme="majorHAnsi"/>
          <w:sz w:val="20"/>
          <w:szCs w:val="20"/>
        </w:rPr>
        <w:t xml:space="preserve"> delibera all’unanimità</w:t>
      </w:r>
      <w:r w:rsidR="000B099C">
        <w:rPr>
          <w:rFonts w:asciiTheme="majorHAnsi" w:hAnsiTheme="majorHAnsi"/>
          <w:sz w:val="20"/>
          <w:szCs w:val="20"/>
        </w:rPr>
        <w:t xml:space="preserve"> </w:t>
      </w:r>
      <w:r w:rsidR="000B099C" w:rsidRPr="007D1F33">
        <w:rPr>
          <w:rFonts w:asciiTheme="majorHAnsi" w:hAnsiTheme="majorHAnsi"/>
          <w:sz w:val="20"/>
          <w:szCs w:val="20"/>
        </w:rPr>
        <w:t>(</w:t>
      </w:r>
      <w:r w:rsidR="000B099C" w:rsidRPr="000B099C">
        <w:rPr>
          <w:rFonts w:asciiTheme="majorHAnsi" w:hAnsiTheme="majorHAnsi"/>
          <w:sz w:val="20"/>
          <w:szCs w:val="20"/>
          <w:u w:val="single"/>
        </w:rPr>
        <w:t>DELIBERA N.3</w:t>
      </w:r>
      <w:r w:rsidR="000B099C">
        <w:rPr>
          <w:rFonts w:asciiTheme="majorHAnsi" w:hAnsiTheme="majorHAnsi"/>
          <w:sz w:val="20"/>
          <w:szCs w:val="20"/>
          <w:u w:val="single"/>
        </w:rPr>
        <w:t>9</w:t>
      </w:r>
      <w:r w:rsidR="000B099C" w:rsidRPr="000B099C">
        <w:rPr>
          <w:rFonts w:asciiTheme="majorHAnsi" w:hAnsiTheme="majorHAnsi"/>
          <w:sz w:val="20"/>
          <w:szCs w:val="20"/>
          <w:u w:val="single"/>
        </w:rPr>
        <w:t>)</w:t>
      </w:r>
      <w:r w:rsidR="000B099C">
        <w:rPr>
          <w:rFonts w:asciiTheme="majorHAnsi" w:hAnsiTheme="majorHAnsi"/>
          <w:sz w:val="20"/>
          <w:szCs w:val="20"/>
          <w:u w:val="single"/>
        </w:rPr>
        <w:t>.</w:t>
      </w:r>
    </w:p>
    <w:p w:rsidR="0054767D" w:rsidRDefault="004E68D5" w:rsidP="00C433DC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C433DC">
        <w:rPr>
          <w:rFonts w:asciiTheme="majorHAnsi" w:hAnsiTheme="majorHAnsi"/>
          <w:b/>
          <w:sz w:val="20"/>
          <w:szCs w:val="20"/>
        </w:rPr>
        <w:t xml:space="preserve">Punto 13 – Valutazione ad effettuare servizi fotografici e/o video per la scuola </w:t>
      </w:r>
      <w:proofErr w:type="spellStart"/>
      <w:r w:rsidRPr="00C433DC">
        <w:rPr>
          <w:rFonts w:asciiTheme="majorHAnsi" w:hAnsiTheme="majorHAnsi"/>
          <w:b/>
          <w:sz w:val="20"/>
          <w:szCs w:val="20"/>
        </w:rPr>
        <w:t>a.s.</w:t>
      </w:r>
      <w:proofErr w:type="spellEnd"/>
      <w:r w:rsidRPr="00C433DC">
        <w:rPr>
          <w:rFonts w:asciiTheme="majorHAnsi" w:hAnsiTheme="majorHAnsi"/>
          <w:b/>
          <w:sz w:val="20"/>
          <w:szCs w:val="20"/>
        </w:rPr>
        <w:t xml:space="preserve"> 2016/2017</w:t>
      </w:r>
    </w:p>
    <w:p w:rsidR="00CE6275" w:rsidRPr="00EA7C72" w:rsidRDefault="00CE6275" w:rsidP="00C433DC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</w:t>
      </w:r>
      <w:r w:rsidRPr="00C71298">
        <w:rPr>
          <w:rFonts w:asciiTheme="majorHAnsi" w:hAnsiTheme="majorHAnsi"/>
          <w:sz w:val="20"/>
          <w:szCs w:val="20"/>
        </w:rPr>
        <w:t xml:space="preserve"> componenti del </w:t>
      </w:r>
      <w:r>
        <w:rPr>
          <w:rFonts w:asciiTheme="majorHAnsi" w:hAnsiTheme="majorHAnsi"/>
          <w:sz w:val="20"/>
          <w:szCs w:val="20"/>
        </w:rPr>
        <w:t>C</w:t>
      </w:r>
      <w:r w:rsidRPr="00C71298">
        <w:rPr>
          <w:rFonts w:asciiTheme="majorHAnsi" w:hAnsiTheme="majorHAnsi"/>
          <w:sz w:val="20"/>
          <w:szCs w:val="20"/>
        </w:rPr>
        <w:t>onsiglio</w:t>
      </w:r>
      <w:r>
        <w:rPr>
          <w:rFonts w:asciiTheme="majorHAnsi" w:hAnsiTheme="majorHAnsi"/>
          <w:sz w:val="20"/>
          <w:szCs w:val="20"/>
        </w:rPr>
        <w:t xml:space="preserve"> d’Istituto esprimono parere favorevole relativamente alla realizzazione </w:t>
      </w:r>
      <w:r w:rsidR="0054767D">
        <w:rPr>
          <w:rFonts w:asciiTheme="majorHAnsi" w:hAnsiTheme="majorHAnsi"/>
          <w:sz w:val="20"/>
          <w:szCs w:val="20"/>
        </w:rPr>
        <w:t xml:space="preserve">di </w:t>
      </w:r>
      <w:r w:rsidR="0054767D" w:rsidRPr="0054767D">
        <w:rPr>
          <w:rFonts w:asciiTheme="majorHAnsi" w:hAnsiTheme="majorHAnsi"/>
          <w:sz w:val="20"/>
          <w:szCs w:val="20"/>
        </w:rPr>
        <w:t xml:space="preserve">servizi fotografici e/o video per la scuola </w:t>
      </w:r>
      <w:r w:rsidR="0054767D">
        <w:rPr>
          <w:rFonts w:asciiTheme="majorHAnsi" w:hAnsiTheme="majorHAnsi"/>
          <w:sz w:val="20"/>
          <w:szCs w:val="20"/>
        </w:rPr>
        <w:t xml:space="preserve">per il corrente anno scolastico e </w:t>
      </w:r>
      <w:r w:rsidR="0054767D" w:rsidRPr="00EA7C72">
        <w:rPr>
          <w:rFonts w:asciiTheme="majorHAnsi" w:hAnsiTheme="majorHAnsi"/>
          <w:sz w:val="20"/>
          <w:szCs w:val="20"/>
        </w:rPr>
        <w:t>deliberano all’unanimità (DELIBERA N.</w:t>
      </w:r>
      <w:r w:rsidR="000B099C" w:rsidRPr="00EA7C72">
        <w:rPr>
          <w:rFonts w:asciiTheme="majorHAnsi" w:hAnsiTheme="majorHAnsi"/>
          <w:sz w:val="20"/>
          <w:szCs w:val="20"/>
        </w:rPr>
        <w:t>40</w:t>
      </w:r>
      <w:r w:rsidR="0054767D" w:rsidRPr="00EA7C72">
        <w:rPr>
          <w:rFonts w:asciiTheme="majorHAnsi" w:hAnsiTheme="majorHAnsi"/>
          <w:sz w:val="20"/>
          <w:szCs w:val="20"/>
        </w:rPr>
        <w:t>)</w:t>
      </w:r>
      <w:r w:rsidR="00EA7C72">
        <w:rPr>
          <w:rFonts w:asciiTheme="majorHAnsi" w:hAnsiTheme="majorHAnsi"/>
          <w:sz w:val="20"/>
          <w:szCs w:val="20"/>
        </w:rPr>
        <w:t>.</w:t>
      </w:r>
    </w:p>
    <w:p w:rsidR="004E68D5" w:rsidRDefault="004E68D5" w:rsidP="00C71298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C71298">
        <w:rPr>
          <w:rFonts w:asciiTheme="majorHAnsi" w:hAnsiTheme="majorHAnsi"/>
          <w:b/>
          <w:sz w:val="20"/>
          <w:szCs w:val="20"/>
        </w:rPr>
        <w:t>Punto 14 – Rinnovo contratto R.S.P.P.</w:t>
      </w:r>
    </w:p>
    <w:p w:rsidR="00C433DC" w:rsidRPr="00CC10C6" w:rsidRDefault="00C433DC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0408C9">
        <w:rPr>
          <w:rFonts w:asciiTheme="majorHAnsi" w:hAnsiTheme="majorHAnsi"/>
          <w:sz w:val="20"/>
          <w:szCs w:val="20"/>
        </w:rPr>
        <w:t xml:space="preserve">Prende </w:t>
      </w:r>
      <w:r>
        <w:rPr>
          <w:rFonts w:asciiTheme="majorHAnsi" w:hAnsiTheme="majorHAnsi"/>
          <w:sz w:val="20"/>
          <w:szCs w:val="20"/>
        </w:rPr>
        <w:t xml:space="preserve">la parola la prof.ssa Ferraro che </w:t>
      </w:r>
      <w:r w:rsidRPr="000B099C">
        <w:rPr>
          <w:rFonts w:asciiTheme="majorHAnsi" w:hAnsiTheme="majorHAnsi"/>
          <w:sz w:val="20"/>
          <w:szCs w:val="20"/>
        </w:rPr>
        <w:t>comunica</w:t>
      </w:r>
      <w:r>
        <w:rPr>
          <w:rFonts w:asciiTheme="majorHAnsi" w:hAnsiTheme="majorHAnsi"/>
          <w:sz w:val="20"/>
          <w:szCs w:val="20"/>
        </w:rPr>
        <w:t xml:space="preserve"> ai componenti del Consiglio d’Istituto </w:t>
      </w:r>
      <w:r w:rsidR="009766FF">
        <w:rPr>
          <w:rFonts w:asciiTheme="majorHAnsi" w:hAnsiTheme="majorHAnsi"/>
          <w:sz w:val="20"/>
          <w:szCs w:val="20"/>
        </w:rPr>
        <w:t xml:space="preserve">che è in scadenza </w:t>
      </w:r>
      <w:r>
        <w:rPr>
          <w:rFonts w:asciiTheme="majorHAnsi" w:hAnsiTheme="majorHAnsi"/>
          <w:sz w:val="20"/>
          <w:szCs w:val="20"/>
        </w:rPr>
        <w:t xml:space="preserve">il contratto, </w:t>
      </w:r>
      <w:r w:rsidR="00CC10C6">
        <w:rPr>
          <w:rFonts w:asciiTheme="majorHAnsi" w:hAnsiTheme="majorHAnsi"/>
          <w:sz w:val="20"/>
          <w:szCs w:val="20"/>
        </w:rPr>
        <w:t xml:space="preserve">quale </w:t>
      </w:r>
      <w:r w:rsidR="00CC10C6" w:rsidRPr="00CC10C6">
        <w:rPr>
          <w:rFonts w:asciiTheme="majorHAnsi" w:hAnsiTheme="majorHAnsi"/>
          <w:sz w:val="20"/>
          <w:szCs w:val="20"/>
        </w:rPr>
        <w:t>R.S.P.P.</w:t>
      </w:r>
      <w:r w:rsidR="00CC10C6">
        <w:rPr>
          <w:rFonts w:asciiTheme="majorHAnsi" w:hAnsiTheme="majorHAnsi"/>
          <w:sz w:val="20"/>
          <w:szCs w:val="20"/>
        </w:rPr>
        <w:t xml:space="preserve"> dell’istituto, all’</w:t>
      </w:r>
      <w:proofErr w:type="spellStart"/>
      <w:r w:rsidR="00CC10C6">
        <w:rPr>
          <w:rFonts w:asciiTheme="majorHAnsi" w:hAnsiTheme="majorHAnsi"/>
          <w:sz w:val="20"/>
          <w:szCs w:val="20"/>
        </w:rPr>
        <w:t>ing.Spallino</w:t>
      </w:r>
      <w:r w:rsidR="009766FF">
        <w:rPr>
          <w:rFonts w:asciiTheme="majorHAnsi" w:hAnsiTheme="majorHAnsi"/>
          <w:sz w:val="20"/>
          <w:szCs w:val="20"/>
        </w:rPr>
        <w:t>.P</w:t>
      </w:r>
      <w:r w:rsidR="00CC10C6">
        <w:rPr>
          <w:rFonts w:asciiTheme="majorHAnsi" w:hAnsiTheme="majorHAnsi"/>
          <w:sz w:val="20"/>
          <w:szCs w:val="20"/>
        </w:rPr>
        <w:t>er</w:t>
      </w:r>
      <w:proofErr w:type="spellEnd"/>
      <w:r w:rsidR="00CC10C6">
        <w:rPr>
          <w:rFonts w:asciiTheme="majorHAnsi" w:hAnsiTheme="majorHAnsi"/>
          <w:sz w:val="20"/>
          <w:szCs w:val="20"/>
        </w:rPr>
        <w:t xml:space="preserve"> le competenze professionali mostrate e per i riscontri positivi, relativi alle pre</w:t>
      </w:r>
      <w:r w:rsidR="009766FF">
        <w:rPr>
          <w:rFonts w:asciiTheme="majorHAnsi" w:hAnsiTheme="majorHAnsi"/>
          <w:sz w:val="20"/>
          <w:szCs w:val="20"/>
        </w:rPr>
        <w:t>s</w:t>
      </w:r>
      <w:r w:rsidR="00CC10C6">
        <w:rPr>
          <w:rFonts w:asciiTheme="majorHAnsi" w:hAnsiTheme="majorHAnsi"/>
          <w:sz w:val="20"/>
          <w:szCs w:val="20"/>
        </w:rPr>
        <w:t>tazioni connesse all’</w:t>
      </w:r>
      <w:r w:rsidR="009766FF">
        <w:rPr>
          <w:rFonts w:asciiTheme="majorHAnsi" w:hAnsiTheme="majorHAnsi"/>
          <w:sz w:val="20"/>
          <w:szCs w:val="20"/>
        </w:rPr>
        <w:t>incarico, degli anni precedenti, considerato anche che si tratta di incarico fiduciario del Ds, si propone il rinnovo allo stesso.</w:t>
      </w:r>
      <w:r w:rsidR="009E1A95">
        <w:rPr>
          <w:rFonts w:asciiTheme="majorHAnsi" w:hAnsiTheme="majorHAnsi"/>
          <w:sz w:val="20"/>
          <w:szCs w:val="20"/>
        </w:rPr>
        <w:t>I</w:t>
      </w:r>
      <w:r w:rsidR="009E1A95" w:rsidRPr="00C71298">
        <w:rPr>
          <w:rFonts w:asciiTheme="majorHAnsi" w:hAnsiTheme="majorHAnsi"/>
          <w:sz w:val="20"/>
          <w:szCs w:val="20"/>
        </w:rPr>
        <w:t xml:space="preserve"> componenti</w:t>
      </w:r>
      <w:r w:rsidR="009766FF">
        <w:rPr>
          <w:rFonts w:asciiTheme="majorHAnsi" w:hAnsiTheme="majorHAnsi"/>
          <w:sz w:val="20"/>
          <w:szCs w:val="20"/>
        </w:rPr>
        <w:t xml:space="preserve"> del consiglio ne prendono atto e concordano con la proposta.</w:t>
      </w:r>
    </w:p>
    <w:p w:rsidR="004E68D5" w:rsidRDefault="004E68D5" w:rsidP="00C71298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C71298">
        <w:rPr>
          <w:rFonts w:asciiTheme="majorHAnsi" w:hAnsiTheme="majorHAnsi"/>
          <w:b/>
          <w:sz w:val="20"/>
          <w:szCs w:val="20"/>
        </w:rPr>
        <w:t>Punto 15 – Varie ed eventuali</w:t>
      </w:r>
    </w:p>
    <w:p w:rsidR="00596815" w:rsidRPr="00596815" w:rsidRDefault="00596815" w:rsidP="00C71298">
      <w:pPr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596815">
        <w:rPr>
          <w:rFonts w:asciiTheme="majorHAnsi" w:hAnsiTheme="majorHAnsi"/>
          <w:sz w:val="20"/>
          <w:szCs w:val="20"/>
        </w:rPr>
        <w:t>Prende l</w:t>
      </w:r>
      <w:r>
        <w:rPr>
          <w:rFonts w:asciiTheme="majorHAnsi" w:hAnsiTheme="majorHAnsi"/>
          <w:sz w:val="20"/>
          <w:szCs w:val="20"/>
        </w:rPr>
        <w:t xml:space="preserve">a parola la </w:t>
      </w:r>
      <w:proofErr w:type="spellStart"/>
      <w:r>
        <w:rPr>
          <w:rFonts w:asciiTheme="majorHAnsi" w:hAnsiTheme="majorHAnsi"/>
          <w:sz w:val="20"/>
          <w:szCs w:val="20"/>
        </w:rPr>
        <w:t>sign</w:t>
      </w:r>
      <w:proofErr w:type="spellEnd"/>
      <w:r>
        <w:rPr>
          <w:rFonts w:asciiTheme="majorHAnsi" w:hAnsiTheme="majorHAnsi"/>
          <w:sz w:val="20"/>
          <w:szCs w:val="20"/>
        </w:rPr>
        <w:t>. Di Paola, lament</w:t>
      </w:r>
      <w:r w:rsidR="006E5BB9">
        <w:rPr>
          <w:rFonts w:asciiTheme="majorHAnsi" w:hAnsiTheme="majorHAnsi"/>
          <w:sz w:val="20"/>
          <w:szCs w:val="20"/>
        </w:rPr>
        <w:t>ando il fatto che, in qualche classe della succursale, non essendo passata la circolare, relativa alla convocazione dei Consigli di classe, i genitori rappresentanti no</w:t>
      </w:r>
      <w:r w:rsidR="009766FF">
        <w:rPr>
          <w:rFonts w:asciiTheme="majorHAnsi" w:hAnsiTheme="majorHAnsi"/>
          <w:sz w:val="20"/>
          <w:szCs w:val="20"/>
        </w:rPr>
        <w:t>n</w:t>
      </w:r>
      <w:r w:rsidR="006E5BB9">
        <w:rPr>
          <w:rFonts w:asciiTheme="majorHAnsi" w:hAnsiTheme="majorHAnsi"/>
          <w:sz w:val="20"/>
          <w:szCs w:val="20"/>
        </w:rPr>
        <w:t xml:space="preserve"> ne abbiano avuto notizia. Il </w:t>
      </w:r>
      <w:proofErr w:type="spellStart"/>
      <w:r w:rsidR="006E5BB9">
        <w:rPr>
          <w:rFonts w:asciiTheme="majorHAnsi" w:hAnsiTheme="majorHAnsi"/>
          <w:sz w:val="20"/>
          <w:szCs w:val="20"/>
        </w:rPr>
        <w:t>sign</w:t>
      </w:r>
      <w:proofErr w:type="spellEnd"/>
      <w:r w:rsidR="006E5BB9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="006E5BB9">
        <w:rPr>
          <w:rFonts w:asciiTheme="majorHAnsi" w:hAnsiTheme="majorHAnsi"/>
          <w:sz w:val="20"/>
          <w:szCs w:val="20"/>
        </w:rPr>
        <w:t>Riccobono</w:t>
      </w:r>
      <w:proofErr w:type="spellEnd"/>
      <w:r w:rsidR="006E5BB9">
        <w:rPr>
          <w:rFonts w:asciiTheme="majorHAnsi" w:hAnsiTheme="majorHAnsi"/>
          <w:sz w:val="20"/>
          <w:szCs w:val="20"/>
        </w:rPr>
        <w:t xml:space="preserve"> interviene, ribadendo la correttezza delle modalità di circolazione delle informazioni adottata dai collaboratori scolastici. La prof.ssa Ferraro comunica che a partire dal mese di </w:t>
      </w:r>
      <w:r w:rsidR="009766FF">
        <w:rPr>
          <w:rFonts w:asciiTheme="majorHAnsi" w:hAnsiTheme="majorHAnsi"/>
          <w:sz w:val="20"/>
          <w:szCs w:val="20"/>
        </w:rPr>
        <w:t>n</w:t>
      </w:r>
      <w:r w:rsidR="006E5BB9">
        <w:rPr>
          <w:rFonts w:asciiTheme="majorHAnsi" w:hAnsiTheme="majorHAnsi"/>
          <w:sz w:val="20"/>
          <w:szCs w:val="20"/>
        </w:rPr>
        <w:t xml:space="preserve">ovembre tutte le circolari saranno inserite sul sito web della scuola e che, attraverso il cartaceo, verrà data </w:t>
      </w:r>
      <w:r w:rsidR="008C7D98">
        <w:rPr>
          <w:rFonts w:asciiTheme="majorHAnsi" w:hAnsiTheme="majorHAnsi"/>
          <w:sz w:val="20"/>
          <w:szCs w:val="20"/>
        </w:rPr>
        <w:t xml:space="preserve">solo </w:t>
      </w:r>
      <w:r w:rsidR="006E5BB9">
        <w:rPr>
          <w:rFonts w:asciiTheme="majorHAnsi" w:hAnsiTheme="majorHAnsi"/>
          <w:sz w:val="20"/>
          <w:szCs w:val="20"/>
        </w:rPr>
        <w:t xml:space="preserve">comunicazione </w:t>
      </w:r>
      <w:r w:rsidR="008C7D98">
        <w:rPr>
          <w:rFonts w:asciiTheme="majorHAnsi" w:hAnsiTheme="majorHAnsi"/>
          <w:sz w:val="20"/>
          <w:szCs w:val="20"/>
        </w:rPr>
        <w:t>della presenza di una nuova circolare sul sito e del relativo oggetto.</w:t>
      </w:r>
    </w:p>
    <w:p w:rsidR="00773925" w:rsidRDefault="00596815" w:rsidP="00C71298">
      <w:pPr>
        <w:spacing w:after="0"/>
        <w:contextualSpacing/>
        <w:jc w:val="both"/>
        <w:rPr>
          <w:sz w:val="20"/>
          <w:szCs w:val="20"/>
        </w:rPr>
      </w:pPr>
      <w:r w:rsidRPr="001A6A9A">
        <w:rPr>
          <w:sz w:val="20"/>
          <w:szCs w:val="20"/>
        </w:rPr>
        <w:t>Esaurita la trattazione degli argomenti posti all’O.d.g. la seduta è tolta alle ore 1</w:t>
      </w:r>
      <w:r>
        <w:rPr>
          <w:sz w:val="20"/>
          <w:szCs w:val="20"/>
        </w:rPr>
        <w:t>7</w:t>
      </w:r>
      <w:r w:rsidRPr="001A6A9A">
        <w:rPr>
          <w:sz w:val="20"/>
          <w:szCs w:val="20"/>
        </w:rPr>
        <w:t>.</w:t>
      </w:r>
      <w:r>
        <w:rPr>
          <w:sz w:val="20"/>
          <w:szCs w:val="20"/>
        </w:rPr>
        <w:t>40</w:t>
      </w:r>
      <w:r w:rsidRPr="001A6A9A">
        <w:rPr>
          <w:sz w:val="20"/>
          <w:szCs w:val="20"/>
        </w:rPr>
        <w:t>.</w:t>
      </w:r>
    </w:p>
    <w:p w:rsidR="00596815" w:rsidRDefault="00596815" w:rsidP="00C71298">
      <w:pPr>
        <w:spacing w:after="0"/>
        <w:contextualSpacing/>
        <w:jc w:val="both"/>
        <w:rPr>
          <w:sz w:val="20"/>
          <w:szCs w:val="20"/>
        </w:rPr>
      </w:pPr>
    </w:p>
    <w:p w:rsidR="00596815" w:rsidRPr="001A6A9A" w:rsidRDefault="00596815" w:rsidP="00596815">
      <w:pPr>
        <w:rPr>
          <w:sz w:val="20"/>
          <w:szCs w:val="20"/>
        </w:rPr>
      </w:pPr>
      <w:r w:rsidRPr="001A6A9A">
        <w:rPr>
          <w:sz w:val="20"/>
          <w:szCs w:val="20"/>
        </w:rPr>
        <w:t xml:space="preserve">Il Segretario                                                                                                                   Il </w:t>
      </w:r>
      <w:r>
        <w:rPr>
          <w:sz w:val="20"/>
          <w:szCs w:val="20"/>
        </w:rPr>
        <w:t>Presidente</w:t>
      </w:r>
    </w:p>
    <w:p w:rsidR="00596815" w:rsidRPr="001A6A9A" w:rsidRDefault="00596815" w:rsidP="00596815">
      <w:pPr>
        <w:rPr>
          <w:sz w:val="20"/>
          <w:szCs w:val="20"/>
        </w:rPr>
      </w:pPr>
      <w:r w:rsidRPr="001A6A9A">
        <w:rPr>
          <w:sz w:val="20"/>
          <w:szCs w:val="20"/>
        </w:rPr>
        <w:t xml:space="preserve">Prof.ssa Oliva Lucia                                                                                               Sig.ra </w:t>
      </w:r>
      <w:r>
        <w:rPr>
          <w:sz w:val="20"/>
          <w:szCs w:val="20"/>
        </w:rPr>
        <w:t>Di Paola Giuseppa</w:t>
      </w:r>
    </w:p>
    <w:p w:rsidR="00596815" w:rsidRPr="00C71298" w:rsidRDefault="00596815" w:rsidP="00C71298">
      <w:pPr>
        <w:spacing w:after="0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sectPr w:rsidR="00596815" w:rsidRPr="00C71298" w:rsidSect="00D63BA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716AF"/>
    <w:multiLevelType w:val="hybridMultilevel"/>
    <w:tmpl w:val="03D450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0152E5"/>
    <w:multiLevelType w:val="hybridMultilevel"/>
    <w:tmpl w:val="9786803A"/>
    <w:lvl w:ilvl="0" w:tplc="DDD4AA10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AD"/>
    <w:rsid w:val="000060C5"/>
    <w:rsid w:val="00017219"/>
    <w:rsid w:val="00035FC5"/>
    <w:rsid w:val="000408C9"/>
    <w:rsid w:val="000B099C"/>
    <w:rsid w:val="00113223"/>
    <w:rsid w:val="00266E1E"/>
    <w:rsid w:val="0028078D"/>
    <w:rsid w:val="002E5644"/>
    <w:rsid w:val="0049001A"/>
    <w:rsid w:val="004D38DA"/>
    <w:rsid w:val="004E68D5"/>
    <w:rsid w:val="00502DA4"/>
    <w:rsid w:val="0054767D"/>
    <w:rsid w:val="00563D24"/>
    <w:rsid w:val="00596815"/>
    <w:rsid w:val="00621EA5"/>
    <w:rsid w:val="006B0214"/>
    <w:rsid w:val="006E5BB9"/>
    <w:rsid w:val="007119B5"/>
    <w:rsid w:val="0075485E"/>
    <w:rsid w:val="00773925"/>
    <w:rsid w:val="00790E33"/>
    <w:rsid w:val="00797414"/>
    <w:rsid w:val="007D1F33"/>
    <w:rsid w:val="007E2488"/>
    <w:rsid w:val="0081615E"/>
    <w:rsid w:val="008875E0"/>
    <w:rsid w:val="008C7D98"/>
    <w:rsid w:val="008E0795"/>
    <w:rsid w:val="00916407"/>
    <w:rsid w:val="009766FF"/>
    <w:rsid w:val="009E1A95"/>
    <w:rsid w:val="00AA4A50"/>
    <w:rsid w:val="00B261F8"/>
    <w:rsid w:val="00B77FE5"/>
    <w:rsid w:val="00C433DC"/>
    <w:rsid w:val="00C71298"/>
    <w:rsid w:val="00C76AE6"/>
    <w:rsid w:val="00C90582"/>
    <w:rsid w:val="00CC10C6"/>
    <w:rsid w:val="00CE6275"/>
    <w:rsid w:val="00D63BA9"/>
    <w:rsid w:val="00D73EB1"/>
    <w:rsid w:val="00DC717D"/>
    <w:rsid w:val="00E01D3D"/>
    <w:rsid w:val="00E4704D"/>
    <w:rsid w:val="00E621FE"/>
    <w:rsid w:val="00E62F39"/>
    <w:rsid w:val="00E903D2"/>
    <w:rsid w:val="00EA7C72"/>
    <w:rsid w:val="00EF242F"/>
    <w:rsid w:val="00F007AD"/>
    <w:rsid w:val="00F24EAE"/>
    <w:rsid w:val="00F37864"/>
    <w:rsid w:val="00F8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7AD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4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7AD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4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Oliva</dc:creator>
  <cp:lastModifiedBy>Acer</cp:lastModifiedBy>
  <cp:revision>2</cp:revision>
  <dcterms:created xsi:type="dcterms:W3CDTF">2016-11-29T14:28:00Z</dcterms:created>
  <dcterms:modified xsi:type="dcterms:W3CDTF">2016-11-29T14:28:00Z</dcterms:modified>
</cp:coreProperties>
</file>